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6CA3A">
      <w:pPr>
        <w:spacing w:after="0" w:line="240" w:lineRule="auto"/>
        <w:rPr>
          <w:b/>
        </w:rPr>
      </w:pPr>
      <w:bookmarkStart w:id="0" w:name="_GoBack"/>
    </w:p>
    <w:p w14:paraId="7D0C16A9">
      <w:pPr>
        <w:spacing w:after="0" w:line="240" w:lineRule="auto"/>
        <w:rPr>
          <w:b/>
        </w:rPr>
      </w:pPr>
    </w:p>
    <w:p w14:paraId="479D94B3">
      <w:pPr>
        <w:spacing w:line="240" w:lineRule="auto"/>
        <w:jc w:val="center"/>
      </w:pPr>
    </w:p>
    <w:p w14:paraId="706E5DA6">
      <w:pPr>
        <w:spacing w:line="240" w:lineRule="auto"/>
        <w:jc w:val="center"/>
        <w:rPr>
          <w:b/>
        </w:rPr>
      </w:pPr>
      <w:r>
        <w:rPr>
          <w:b/>
        </w:rPr>
        <w:t>Marco Conceptual  en torno al cuidado.</w:t>
      </w:r>
    </w:p>
    <w:p w14:paraId="16A5AD89">
      <w:pPr>
        <w:spacing w:line="360" w:lineRule="auto"/>
        <w:jc w:val="both"/>
        <w:rPr>
          <w:b/>
        </w:rPr>
      </w:pPr>
    </w:p>
    <w:p w14:paraId="605FCBF9">
      <w:pPr>
        <w:spacing w:line="360" w:lineRule="auto"/>
        <w:jc w:val="both"/>
        <w:rPr>
          <w:b/>
          <w:lang w:val="es-ES"/>
        </w:rPr>
      </w:pPr>
      <w:r>
        <w:rPr>
          <w:rFonts w:hint="default"/>
          <w:lang w:val="es-ES"/>
        </w:rPr>
        <w:t xml:space="preserve">La práctica nos ha llevado ha planteamientos en torno a la </w:t>
      </w:r>
      <w:r>
        <w:rPr>
          <w:lang w:val="es-ES"/>
        </w:rPr>
        <w:t>compleja relación entre cuidadores, cuidadoras y personas cuidadas en el contexto de la discapacidad</w:t>
      </w:r>
      <w:r>
        <w:rPr>
          <w:rFonts w:hint="default"/>
          <w:lang w:val="es-ES"/>
        </w:rPr>
        <w:t xml:space="preserve">, buscando </w:t>
      </w:r>
      <w:r>
        <w:rPr>
          <w:lang w:val="es-ES"/>
        </w:rPr>
        <w:t xml:space="preserve">abonar a la discusión </w:t>
      </w:r>
      <w:r>
        <w:rPr>
          <w:rFonts w:hint="default"/>
          <w:lang w:val="es-ES"/>
        </w:rPr>
        <w:t xml:space="preserve">alrededor </w:t>
      </w:r>
      <w:r>
        <w:rPr>
          <w:lang w:val="es-ES"/>
        </w:rPr>
        <w:t>de los derechos de las personas con discapacidad considerando</w:t>
      </w:r>
      <w:r>
        <w:rPr>
          <w:rFonts w:hint="default"/>
          <w:lang w:val="es-ES"/>
        </w:rPr>
        <w:t xml:space="preserve"> </w:t>
      </w:r>
      <w:r>
        <w:rPr>
          <w:lang w:val="es-ES"/>
        </w:rPr>
        <w:t>los</w:t>
      </w:r>
      <w:r>
        <w:rPr>
          <w:rFonts w:hint="default"/>
          <w:lang w:val="es-ES"/>
        </w:rPr>
        <w:t xml:space="preserve"> </w:t>
      </w:r>
      <w:r>
        <w:rPr>
          <w:lang w:val="es-ES"/>
        </w:rPr>
        <w:t>procesos de inclusión</w:t>
      </w:r>
      <w:r>
        <w:rPr>
          <w:rFonts w:hint="default"/>
          <w:lang w:val="es-ES"/>
        </w:rPr>
        <w:t xml:space="preserve"> y </w:t>
      </w:r>
      <w:r>
        <w:rPr>
          <w:lang w:val="es-ES"/>
        </w:rPr>
        <w:t>participación</w:t>
      </w:r>
      <w:r>
        <w:rPr>
          <w:rFonts w:hint="default"/>
          <w:lang w:val="es-ES"/>
        </w:rPr>
        <w:t xml:space="preserve">, y la </w:t>
      </w:r>
      <w:r>
        <w:rPr>
          <w:lang w:val="es-ES"/>
        </w:rPr>
        <w:t>construcción de autonomía e independencia</w:t>
      </w:r>
      <w:r>
        <w:rPr>
          <w:rFonts w:hint="default"/>
          <w:lang w:val="es-ES"/>
        </w:rPr>
        <w:t>.</w:t>
      </w:r>
    </w:p>
    <w:p w14:paraId="43907E44">
      <w:pPr>
        <w:spacing w:line="360" w:lineRule="auto"/>
        <w:jc w:val="both"/>
        <w:rPr>
          <w:rFonts w:hint="default"/>
          <w:b/>
          <w:lang w:val="es-ES"/>
        </w:rPr>
      </w:pPr>
      <w:r>
        <w:rPr>
          <w:rFonts w:hint="default"/>
          <w:b/>
          <w:lang w:val="es-ES"/>
        </w:rPr>
        <w:t>El concepto del cuidado:</w:t>
      </w:r>
    </w:p>
    <w:p w14:paraId="5E0FD394">
      <w:pPr>
        <w:spacing w:line="360" w:lineRule="auto"/>
        <w:jc w:val="both"/>
        <w:rPr>
          <w:lang w:val="es-ES"/>
        </w:rPr>
      </w:pPr>
      <w:r>
        <w:rPr>
          <w:rFonts w:hint="default"/>
          <w:lang w:val="es-ES"/>
        </w:rPr>
        <w:t xml:space="preserve">El tema del cuidado ha estado en apogeo en los ultimos años, creemos que dadas las diversas condiciones sociales que estamos viviendo y que </w:t>
      </w:r>
      <w:r>
        <w:rPr>
          <w:lang w:val="es-ES"/>
        </w:rPr>
        <w:t>las organizaciones de la sociedad civil</w:t>
      </w:r>
      <w:r>
        <w:rPr>
          <w:rFonts w:hint="default"/>
          <w:lang w:val="es-ES"/>
        </w:rPr>
        <w:t xml:space="preserve">, </w:t>
      </w:r>
      <w:r>
        <w:rPr>
          <w:lang w:val="es-ES"/>
        </w:rPr>
        <w:t xml:space="preserve"> la academia</w:t>
      </w:r>
      <w:r>
        <w:rPr>
          <w:rFonts w:hint="default"/>
          <w:lang w:val="es-ES"/>
        </w:rPr>
        <w:t xml:space="preserve"> y algunos</w:t>
      </w:r>
      <w:r>
        <w:rPr>
          <w:lang w:val="es-ES"/>
        </w:rPr>
        <w:t xml:space="preserve"> proyectos de la política social</w:t>
      </w:r>
      <w:r>
        <w:rPr>
          <w:rFonts w:hint="default"/>
          <w:lang w:val="es-ES"/>
        </w:rPr>
        <w:t xml:space="preserve"> están</w:t>
      </w:r>
      <w:r>
        <w:rPr>
          <w:lang w:val="es-ES"/>
        </w:rPr>
        <w:t xml:space="preserve"> poniendo</w:t>
      </w:r>
      <w:r>
        <w:rPr>
          <w:rFonts w:hint="default"/>
          <w:lang w:val="es-ES"/>
        </w:rPr>
        <w:t xml:space="preserve"> mayor atención</w:t>
      </w:r>
      <w:r>
        <w:rPr>
          <w:lang w:val="es-ES"/>
        </w:rPr>
        <w:t xml:space="preserve"> en la calidad de las relaciones que establecemos con el mundo que nos rodea.</w:t>
      </w:r>
    </w:p>
    <w:p w14:paraId="462491E8">
      <w:pPr>
        <w:spacing w:line="360" w:lineRule="auto"/>
        <w:jc w:val="both"/>
        <w:rPr>
          <w:lang w:val="es-ES"/>
        </w:rPr>
      </w:pPr>
      <w:r>
        <w:rPr>
          <w:lang w:val="es-ES"/>
        </w:rPr>
        <w:t>En el contexto de la discapacidad</w:t>
      </w:r>
      <w:r>
        <w:rPr>
          <w:rFonts w:hint="default"/>
          <w:lang w:val="es-ES"/>
        </w:rPr>
        <w:t>,</w:t>
      </w:r>
      <w:r>
        <w:rPr>
          <w:lang w:val="es-ES"/>
        </w:rPr>
        <w:t xml:space="preserve"> el tema del cuidado es muy importante.  </w:t>
      </w:r>
      <w:r>
        <w:rPr>
          <w:rFonts w:hint="default"/>
          <w:lang w:val="es-ES"/>
        </w:rPr>
        <w:t>A veces la aporximación al tema de da con</w:t>
      </w:r>
      <w:r>
        <w:rPr>
          <w:lang w:val="es-ES"/>
        </w:rPr>
        <w:t xml:space="preserve"> la </w:t>
      </w:r>
      <w:r>
        <w:rPr>
          <w:i/>
          <w:lang w:val="es-ES"/>
        </w:rPr>
        <w:t xml:space="preserve">ayuda </w:t>
      </w:r>
      <w:r>
        <w:rPr>
          <w:lang w:val="es-ES"/>
        </w:rPr>
        <w:t xml:space="preserve">o la </w:t>
      </w:r>
      <w:r>
        <w:rPr>
          <w:i/>
          <w:lang w:val="es-ES"/>
        </w:rPr>
        <w:t>asistencia</w:t>
      </w:r>
      <w:r>
        <w:rPr>
          <w:lang w:val="es-ES"/>
        </w:rPr>
        <w:t xml:space="preserve">,  el </w:t>
      </w:r>
      <w:r>
        <w:rPr>
          <w:i/>
          <w:lang w:val="es-ES"/>
        </w:rPr>
        <w:t>apoyo</w:t>
      </w:r>
      <w:r>
        <w:rPr>
          <w:lang w:val="es-ES"/>
        </w:rPr>
        <w:t xml:space="preserve">, la </w:t>
      </w:r>
      <w:r>
        <w:rPr>
          <w:i/>
          <w:lang w:val="es-ES"/>
        </w:rPr>
        <w:t xml:space="preserve">colaboración </w:t>
      </w:r>
      <w:r>
        <w:rPr>
          <w:lang w:val="es-ES"/>
        </w:rPr>
        <w:t xml:space="preserve">o bien el </w:t>
      </w:r>
      <w:r>
        <w:rPr>
          <w:i/>
          <w:lang w:val="es-ES"/>
        </w:rPr>
        <w:t>acompañamiento</w:t>
      </w:r>
      <w:r>
        <w:rPr>
          <w:lang w:val="es-ES"/>
        </w:rPr>
        <w:t>.</w:t>
      </w:r>
      <w:r>
        <w:rPr>
          <w:rFonts w:hint="default"/>
          <w:lang w:val="es-ES"/>
        </w:rPr>
        <w:t xml:space="preserve"> </w:t>
      </w:r>
      <w:r>
        <w:rPr>
          <w:rFonts w:hint="default"/>
          <w:lang w:val="es-MX"/>
        </w:rPr>
        <w:t>H</w:t>
      </w:r>
      <w:r>
        <w:rPr>
          <w:lang w:val="es-ES"/>
        </w:rPr>
        <w:t>emos aprendido que detrás de cada una de estas palabras hay posturas e intenciones que definen nuestras acciones; por ejemplo,</w:t>
      </w:r>
      <w:r>
        <w:rPr>
          <w:rFonts w:hint="default"/>
          <w:lang w:val="es-ES"/>
        </w:rPr>
        <w:t xml:space="preserve">  hemos insistido en </w:t>
      </w:r>
      <w:r>
        <w:rPr>
          <w:lang w:val="es-ES"/>
        </w:rPr>
        <w:t xml:space="preserve">la asistencia a las personas con discapacidad desde un enfoque de derechos, </w:t>
      </w:r>
      <w:r>
        <w:rPr>
          <w:rFonts w:hint="default"/>
          <w:lang w:val="es-ES"/>
        </w:rPr>
        <w:t xml:space="preserve">y </w:t>
      </w:r>
      <w:r>
        <w:rPr>
          <w:lang w:val="es-ES"/>
        </w:rPr>
        <w:t xml:space="preserve">desde nuestra experiencia, nos mantenemos críticos a las lógicas asistencialistas y proteccionistas hacia las personas con discapacidad que </w:t>
      </w:r>
      <w:r>
        <w:rPr>
          <w:rFonts w:hint="default"/>
          <w:lang w:val="es-ES"/>
        </w:rPr>
        <w:t xml:space="preserve">dificultan </w:t>
      </w:r>
      <w:r>
        <w:rPr>
          <w:lang w:val="es-ES"/>
        </w:rPr>
        <w:t xml:space="preserve">procesos de inclusión educativa, laboral y comunitaria.  También sabemos que no es suficiente con decir o querer </w:t>
      </w:r>
      <w:r>
        <w:rPr>
          <w:i/>
          <w:lang w:val="es-ES"/>
        </w:rPr>
        <w:t>ayudar</w:t>
      </w:r>
      <w:r>
        <w:rPr>
          <w:lang w:val="es-ES"/>
        </w:rPr>
        <w:t xml:space="preserve"> o </w:t>
      </w:r>
      <w:r>
        <w:rPr>
          <w:i/>
          <w:lang w:val="es-ES"/>
        </w:rPr>
        <w:t>asistir</w:t>
      </w:r>
      <w:r>
        <w:rPr>
          <w:lang w:val="es-ES"/>
        </w:rPr>
        <w:t>, sobre todo cuando detrás de esta intención la persona a quien está dirigida la ayuda se convierte en un objeto o bien se ponen en riesgo  sus derechos y dignidad.</w:t>
      </w:r>
    </w:p>
    <w:p w14:paraId="30B67975">
      <w:pPr>
        <w:spacing w:line="360" w:lineRule="auto"/>
        <w:jc w:val="both"/>
        <w:rPr>
          <w:lang w:val="es-ES"/>
        </w:rPr>
      </w:pPr>
      <w:r>
        <w:rPr>
          <w:lang w:val="es-ES"/>
        </w:rPr>
        <w:t>Por esta razón, al hablar del cuidado, estaremos refiriéndonos en todo momento al vínculo o relaciones que se establecen entre personas cuidadas y sus cuidadoras o cuidadores. Y las reflexiones  que, desde nuestra experiencia,  podemos compartir tienen que ver con los siguientes aspectos:</w:t>
      </w:r>
    </w:p>
    <w:p w14:paraId="474F32DF">
      <w:pPr>
        <w:pStyle w:val="12"/>
        <w:spacing w:line="360" w:lineRule="auto"/>
        <w:jc w:val="both"/>
        <w:rPr>
          <w:lang w:val="es-ES"/>
        </w:rPr>
      </w:pPr>
      <w:r>
        <w:rPr>
          <w:lang w:val="es-ES"/>
        </w:rPr>
        <w:t>Las condiciones sociales y estructurales son determinantes en los procesos de acompañamiento y apoyo; los recursos económicos y materiales no son asunto menor, suelen definir los grados de abandono y la atención que requieren las personas con discapacidad</w:t>
      </w:r>
      <w:r>
        <w:rPr>
          <w:rFonts w:hint="default"/>
          <w:lang w:val="es-ES"/>
        </w:rPr>
        <w:t xml:space="preserve">y ponene a cuidador@s </w:t>
      </w:r>
      <w:r>
        <w:rPr>
          <w:lang w:val="es-ES"/>
        </w:rPr>
        <w:t xml:space="preserve">a preocupantes condiciones de vulnerabilidad.  </w:t>
      </w:r>
    </w:p>
    <w:p w14:paraId="14F3CAFB">
      <w:pPr>
        <w:pStyle w:val="12"/>
        <w:spacing w:line="360" w:lineRule="auto"/>
        <w:jc w:val="both"/>
        <w:rPr>
          <w:lang w:val="es-ES"/>
        </w:rPr>
      </w:pPr>
    </w:p>
    <w:p w14:paraId="65F42842">
      <w:pPr>
        <w:pStyle w:val="12"/>
        <w:numPr>
          <w:ilvl w:val="0"/>
          <w:numId w:val="1"/>
        </w:numPr>
        <w:spacing w:line="360" w:lineRule="auto"/>
        <w:jc w:val="both"/>
        <w:rPr>
          <w:lang w:val="es-ES"/>
        </w:rPr>
      </w:pPr>
      <w:r>
        <w:rPr>
          <w:rFonts w:hint="default"/>
          <w:lang w:val="es-ES"/>
        </w:rPr>
        <w:t>Las</w:t>
      </w:r>
      <w:r>
        <w:rPr>
          <w:lang w:val="es-ES"/>
        </w:rPr>
        <w:t xml:space="preserve"> condiciones familiares o comunitarias no son ajenas a una sociedad que atribuye a la “buena mujer” el papel de madre, protectora, amorosa y dadora de cuidados</w:t>
      </w:r>
      <w:r>
        <w:rPr>
          <w:rFonts w:hint="default"/>
          <w:lang w:val="es-ES"/>
        </w:rPr>
        <w:t>, donde se pueden generar</w:t>
      </w:r>
      <w:r>
        <w:rPr>
          <w:lang w:val="es-ES"/>
        </w:rPr>
        <w:t xml:space="preserve"> historias de sobreprotección, cosificación e infantilización de las personas con discapacidad</w:t>
      </w:r>
      <w:r>
        <w:rPr>
          <w:rFonts w:hint="default"/>
          <w:lang w:val="es-ES"/>
        </w:rPr>
        <w:t xml:space="preserve">, asi </w:t>
      </w:r>
      <w:r>
        <w:rPr>
          <w:lang w:val="es-ES"/>
        </w:rPr>
        <w:t>las posibilidades de autonomía de quienes reciben los cuidados están permanentemente mermadas</w:t>
      </w:r>
      <w:r>
        <w:rPr>
          <w:rFonts w:hint="default"/>
          <w:lang w:val="es-ES"/>
        </w:rPr>
        <w:t xml:space="preserve">, </w:t>
      </w:r>
      <w:r>
        <w:rPr>
          <w:lang w:val="es-ES"/>
        </w:rPr>
        <w:t xml:space="preserve">es necesario que el cuidado esté provisto </w:t>
      </w:r>
      <w:r>
        <w:rPr>
          <w:rFonts w:hint="default"/>
          <w:lang w:val="es-ES"/>
        </w:rPr>
        <w:t>con una</w:t>
      </w:r>
      <w:r>
        <w:rPr>
          <w:lang w:val="es-ES"/>
        </w:rPr>
        <w:t xml:space="preserve"> comunidad que esté dispuesta a compartir las necesidades de cuidado y acompañamiento. </w:t>
      </w:r>
      <w:r>
        <w:rPr>
          <w:rFonts w:hint="default"/>
          <w:lang w:val="es-ES"/>
        </w:rPr>
        <w:t xml:space="preserve"> Es importante </w:t>
      </w:r>
      <w:r>
        <w:rPr>
          <w:lang w:val="es-ES"/>
        </w:rPr>
        <w:t>fortalecer redes y espacios solidarios de apoyo</w:t>
      </w:r>
      <w:r>
        <w:rPr>
          <w:rFonts w:hint="default"/>
          <w:lang w:val="es-ES"/>
        </w:rPr>
        <w:t xml:space="preserve"> y </w:t>
      </w:r>
      <w:r>
        <w:rPr>
          <w:lang w:val="es-ES"/>
        </w:rPr>
        <w:t xml:space="preserve">reconocer la corresponsabilidad del cuidado y la inclusión desde un sentido comunitario. </w:t>
      </w:r>
    </w:p>
    <w:p w14:paraId="4BF49023">
      <w:pPr>
        <w:pStyle w:val="12"/>
        <w:spacing w:line="360" w:lineRule="auto"/>
        <w:jc w:val="both"/>
        <w:rPr>
          <w:lang w:val="es-ES"/>
        </w:rPr>
      </w:pPr>
    </w:p>
    <w:p w14:paraId="59193DF7">
      <w:pPr>
        <w:pStyle w:val="12"/>
        <w:numPr>
          <w:ilvl w:val="0"/>
          <w:numId w:val="1"/>
        </w:numPr>
        <w:spacing w:line="360" w:lineRule="auto"/>
        <w:jc w:val="both"/>
        <w:rPr>
          <w:lang w:val="es-ES"/>
        </w:rPr>
      </w:pPr>
      <w:r>
        <w:rPr>
          <w:lang w:val="es-ES"/>
        </w:rPr>
        <w:t>Las necesidades de apoyo y acompañamiento de las personas con discapacidad evidencian un vacío institucional en el que las familias y los cuidador</w:t>
      </w:r>
      <w:r>
        <w:rPr>
          <w:rFonts w:hint="default"/>
          <w:lang w:val="es-ES"/>
        </w:rPr>
        <w:t>@</w:t>
      </w:r>
      <w:r>
        <w:rPr>
          <w:lang w:val="es-ES"/>
        </w:rPr>
        <w:t xml:space="preserve">s terminan sosteniendo todo el peso de los retos que impone la condición de discapacidad, </w:t>
      </w:r>
      <w:r>
        <w:rPr>
          <w:rFonts w:hint="default"/>
          <w:lang w:val="es-ES"/>
        </w:rPr>
        <w:t xml:space="preserve">y un </w:t>
      </w:r>
      <w:r>
        <w:rPr>
          <w:lang w:val="es-ES"/>
        </w:rPr>
        <w:t>modelo médico de la discapacidad, que considera</w:t>
      </w:r>
      <w:r>
        <w:rPr>
          <w:rFonts w:hint="default"/>
          <w:lang w:val="es-ES"/>
        </w:rPr>
        <w:t xml:space="preserve"> la discapacidad como </w:t>
      </w:r>
      <w:r>
        <w:rPr>
          <w:lang w:val="es-ES"/>
        </w:rPr>
        <w:t>un problema de índole estrictamente individual</w:t>
      </w:r>
      <w:r>
        <w:rPr>
          <w:rFonts w:hint="default"/>
          <w:lang w:val="es-ES"/>
        </w:rPr>
        <w:t>, s</w:t>
      </w:r>
      <w:r>
        <w:rPr>
          <w:lang w:val="es-ES"/>
        </w:rPr>
        <w:t>uma</w:t>
      </w:r>
      <w:r>
        <w:rPr>
          <w:rFonts w:hint="default"/>
          <w:lang w:val="es-ES"/>
        </w:rPr>
        <w:t>ndo</w:t>
      </w:r>
      <w:r>
        <w:rPr>
          <w:lang w:val="es-ES"/>
        </w:rPr>
        <w:t xml:space="preserve"> una cultura que quiere siempre la “normalidad” y no sabe cómo incluir la diversidad</w:t>
      </w:r>
      <w:r>
        <w:rPr>
          <w:rFonts w:hint="default"/>
          <w:lang w:val="es-ES"/>
        </w:rPr>
        <w:t xml:space="preserve">, que </w:t>
      </w:r>
      <w:r>
        <w:rPr>
          <w:lang w:val="es-ES"/>
        </w:rPr>
        <w:t>señala</w:t>
      </w:r>
      <w:r>
        <w:rPr>
          <w:rFonts w:hint="default"/>
          <w:lang w:val="es-ES"/>
        </w:rPr>
        <w:t>n</w:t>
      </w:r>
      <w:r>
        <w:rPr>
          <w:lang w:val="es-ES"/>
        </w:rPr>
        <w:t xml:space="preserve"> o diferencia</w:t>
      </w:r>
      <w:r>
        <w:rPr>
          <w:rFonts w:hint="default"/>
          <w:lang w:val="es-ES"/>
        </w:rPr>
        <w:t>n</w:t>
      </w:r>
      <w:r>
        <w:rPr>
          <w:lang w:val="es-ES"/>
        </w:rPr>
        <w:t xml:space="preserve"> a la persona con discapacidad, </w:t>
      </w:r>
      <w:r>
        <w:rPr>
          <w:rFonts w:hint="default"/>
          <w:lang w:val="es-ES"/>
        </w:rPr>
        <w:t>y</w:t>
      </w:r>
      <w:r>
        <w:rPr>
          <w:lang w:val="es-ES"/>
        </w:rPr>
        <w:t xml:space="preserve"> alcanzan también a sus cuidadoras o cuidadores</w:t>
      </w:r>
      <w:r>
        <w:rPr>
          <w:rFonts w:hint="default"/>
          <w:lang w:val="es-ES"/>
        </w:rPr>
        <w:t>,</w:t>
      </w:r>
      <w:r>
        <w:rPr>
          <w:lang w:val="es-ES"/>
        </w:rPr>
        <w:t xml:space="preserve"> quienes suelen hacerse cargo de las exigentes expectativas de quienes les rodean</w:t>
      </w:r>
      <w:r>
        <w:rPr>
          <w:rFonts w:hint="default"/>
          <w:lang w:val="es-ES"/>
        </w:rPr>
        <w:t>.</w:t>
      </w:r>
      <w:r>
        <w:rPr>
          <w:lang w:val="es-ES"/>
        </w:rPr>
        <w:t xml:space="preserve">   </w:t>
      </w:r>
    </w:p>
    <w:p w14:paraId="112F3A15">
      <w:pPr>
        <w:pStyle w:val="12"/>
        <w:spacing w:line="360" w:lineRule="auto"/>
        <w:jc w:val="both"/>
        <w:rPr>
          <w:lang w:val="es-ES"/>
        </w:rPr>
      </w:pPr>
    </w:p>
    <w:p w14:paraId="0B5442E4">
      <w:pPr>
        <w:pStyle w:val="12"/>
        <w:numPr>
          <w:ilvl w:val="0"/>
          <w:numId w:val="1"/>
        </w:numPr>
        <w:spacing w:line="360" w:lineRule="auto"/>
        <w:jc w:val="both"/>
        <w:rPr>
          <w:lang w:val="es-ES"/>
        </w:rPr>
      </w:pPr>
      <w:r>
        <w:rPr>
          <w:lang w:val="es-ES"/>
        </w:rPr>
        <w:t>¿Quién cuida a los cuidadores o cuidadoras? ¿Cómo se acompaña, procura y apoya a quienes desempeñan las tareas del cuidado?preguntas necesarias, pero poco frecuentes.</w:t>
      </w:r>
      <w:r>
        <w:rPr>
          <w:rFonts w:hint="default"/>
          <w:lang w:val="es-ES"/>
        </w:rPr>
        <w:t xml:space="preserve"> </w:t>
      </w:r>
      <w:r>
        <w:rPr>
          <w:lang w:val="es-ES"/>
        </w:rPr>
        <w:t>En la Red hemos aprendido que en el cuidado hay una experiencia acumulada, que las cuidadoras y cuidadores son portadores de saberes y conocimiento</w:t>
      </w:r>
      <w:r>
        <w:rPr>
          <w:rFonts w:hint="default"/>
          <w:lang w:val="es-ES"/>
        </w:rPr>
        <w:t>.</w:t>
      </w:r>
      <w:r>
        <w:rPr>
          <w:lang w:val="es-ES"/>
        </w:rPr>
        <w:t xml:space="preserve"> En la medida en que el trabajo de las y los cuidadores se vaya visibilizando posiblemente estemos en mejores condiciones de comprender la necesidad de reorganizar socialmente el cuidado, de distribuir de manera más equitativa y eficiente las tareas de apoyo y asistencia que toda comunidad requiere para sus miembros.</w:t>
      </w:r>
    </w:p>
    <w:p w14:paraId="7C2532C2">
      <w:pPr>
        <w:pStyle w:val="12"/>
        <w:spacing w:line="360" w:lineRule="auto"/>
        <w:jc w:val="both"/>
        <w:rPr>
          <w:lang w:val="es-ES"/>
        </w:rPr>
      </w:pPr>
    </w:p>
    <w:p w14:paraId="13087864">
      <w:pPr>
        <w:pStyle w:val="12"/>
        <w:numPr>
          <w:ilvl w:val="0"/>
          <w:numId w:val="1"/>
        </w:numPr>
        <w:spacing w:line="360" w:lineRule="auto"/>
        <w:jc w:val="both"/>
        <w:rPr>
          <w:lang w:val="es-ES"/>
        </w:rPr>
      </w:pPr>
      <w:r>
        <w:rPr>
          <w:lang w:val="es-ES"/>
        </w:rPr>
        <w:t xml:space="preserve"> </w:t>
      </w:r>
      <w:r>
        <w:rPr>
          <w:rFonts w:hint="default"/>
          <w:lang w:val="es-MX"/>
        </w:rPr>
        <w:t>H</w:t>
      </w:r>
      <w:r>
        <w:rPr>
          <w:lang w:val="es-ES"/>
        </w:rPr>
        <w:t>ablamos de diferentes formas de cuidado. Nuestra cercanía con la cotidianidad de las comunidades, nos ha llevado a observar que no sólo las personas con discapacidad requieren de asistencia</w:t>
      </w:r>
      <w:r>
        <w:rPr>
          <w:rFonts w:hint="default"/>
          <w:lang w:val="es-ES"/>
        </w:rPr>
        <w:t>.</w:t>
      </w:r>
      <w:r>
        <w:rPr>
          <w:lang w:val="es-ES"/>
        </w:rPr>
        <w:t xml:space="preserve">  </w:t>
      </w:r>
      <w:r>
        <w:rPr>
          <w:rFonts w:hint="default"/>
          <w:lang w:val="es-ES"/>
        </w:rPr>
        <w:t>R</w:t>
      </w:r>
      <w:r>
        <w:rPr>
          <w:lang w:val="es-ES"/>
        </w:rPr>
        <w:t>econocemos</w:t>
      </w:r>
      <w:r>
        <w:rPr>
          <w:rFonts w:hint="default"/>
          <w:lang w:val="es-ES"/>
        </w:rPr>
        <w:t xml:space="preserve"> </w:t>
      </w:r>
      <w:r>
        <w:rPr>
          <w:lang w:val="es-ES"/>
        </w:rPr>
        <w:t xml:space="preserve"> la necesidad de cuidar el territorio y las otras especies vivas que nos rodean, cuidar el agua, y los ecosistemas que procuran nuestra vida. </w:t>
      </w:r>
      <w:r>
        <w:rPr>
          <w:rFonts w:hint="default"/>
          <w:lang w:val="es-ES"/>
        </w:rPr>
        <w:t>S</w:t>
      </w:r>
      <w:r>
        <w:rPr>
          <w:lang w:val="es-ES"/>
        </w:rPr>
        <w:t xml:space="preserve">abemos </w:t>
      </w:r>
      <w:r>
        <w:rPr>
          <w:rFonts w:hint="default"/>
          <w:lang w:val="es-ES"/>
        </w:rPr>
        <w:t>tambien que en</w:t>
      </w:r>
      <w:r>
        <w:rPr>
          <w:lang w:val="es-ES"/>
        </w:rPr>
        <w:t xml:space="preserve"> experiencias de cuidado que, de manera individual o bajo la modalidad de ejercicios colectivos, derivan, en primera instancia, de acciones solidarias y actitudes éticas.  </w:t>
      </w:r>
      <w:r>
        <w:rPr>
          <w:rFonts w:hint="default"/>
          <w:lang w:val="es-ES"/>
        </w:rPr>
        <w:t>Otros</w:t>
      </w:r>
      <w:r>
        <w:rPr>
          <w:lang w:val="es-ES"/>
        </w:rPr>
        <w:t xml:space="preserve"> escenarios en los que el cuidado está mediado por un acuerdo contractual y, en este caso, toma la forma de un trabajo; </w:t>
      </w:r>
      <w:r>
        <w:rPr>
          <w:rFonts w:hint="default"/>
          <w:lang w:val="es-ES"/>
        </w:rPr>
        <w:t>por lo que es importante</w:t>
      </w:r>
      <w:r>
        <w:rPr>
          <w:lang w:val="es-ES"/>
        </w:rPr>
        <w:t xml:space="preserve"> profesionalizar las tareas de cuidado y</w:t>
      </w:r>
      <w:r>
        <w:rPr>
          <w:rFonts w:hint="default"/>
          <w:lang w:val="es-ES"/>
        </w:rPr>
        <w:t xml:space="preserve"> </w:t>
      </w:r>
      <w:r>
        <w:rPr>
          <w:lang w:val="es-ES"/>
        </w:rPr>
        <w:t>considerar el derecho a una retribución económica justa de quienes llevan a cabo esta tarea de manera no contractual o “informal”.</w:t>
      </w:r>
    </w:p>
    <w:p w14:paraId="266754CF">
      <w:pPr>
        <w:pStyle w:val="12"/>
        <w:spacing w:line="360" w:lineRule="auto"/>
        <w:jc w:val="both"/>
        <w:rPr>
          <w:lang w:val="es-ES"/>
        </w:rPr>
      </w:pPr>
      <w:r>
        <w:rPr>
          <w:lang w:val="es-ES"/>
        </w:rPr>
        <w:t xml:space="preserve">  </w:t>
      </w:r>
    </w:p>
    <w:p w14:paraId="6062670D">
      <w:pPr>
        <w:pStyle w:val="12"/>
        <w:numPr>
          <w:ilvl w:val="0"/>
          <w:numId w:val="1"/>
        </w:numPr>
        <w:spacing w:line="360" w:lineRule="auto"/>
        <w:jc w:val="both"/>
        <w:rPr>
          <w:b/>
          <w:lang w:val="es-ES"/>
        </w:rPr>
      </w:pPr>
      <w:r>
        <w:rPr>
          <w:rFonts w:hint="default"/>
          <w:lang w:val="es-ES"/>
        </w:rPr>
        <w:t>L</w:t>
      </w:r>
      <w:r>
        <w:rPr>
          <w:lang w:val="es-ES"/>
        </w:rPr>
        <w:t xml:space="preserve">os complejos vínculos entre la persona cuidada y sus cuidadores o cuidadoras deben ser reflexionados en el contexto de una perspectiva de derechos. </w:t>
      </w:r>
      <w:r>
        <w:rPr>
          <w:rFonts w:hint="default"/>
          <w:lang w:val="es-ES"/>
        </w:rPr>
        <w:t>E</w:t>
      </w:r>
      <w:r>
        <w:rPr>
          <w:lang w:val="es-ES"/>
        </w:rPr>
        <w:t>l tema del cuidado de las personas con discapacidad debe salir del ámbito de lo doméstico y ocupar un lugar importante en los temas públicos</w:t>
      </w:r>
      <w:r>
        <w:rPr>
          <w:rFonts w:hint="default"/>
          <w:lang w:val="es-ES"/>
        </w:rPr>
        <w:t xml:space="preserve"> e i</w:t>
      </w:r>
      <w:r>
        <w:rPr>
          <w:lang w:val="es-ES"/>
        </w:rPr>
        <w:t xml:space="preserve">mpulsar su discusión en las agendas legislativas y de políticas públicas de nuestro país y hacer ver al cuidado como un tema y una acción de crucial importancia que compete a todas y todos.  </w:t>
      </w:r>
    </w:p>
    <w:p w14:paraId="01010F9C">
      <w:pPr>
        <w:pStyle w:val="12"/>
        <w:numPr>
          <w:numId w:val="0"/>
        </w:numPr>
        <w:spacing w:line="360" w:lineRule="auto"/>
        <w:ind w:left="360" w:leftChars="0"/>
        <w:jc w:val="both"/>
        <w:rPr>
          <w:b/>
          <w:lang w:val="es-ES"/>
        </w:rPr>
      </w:pPr>
    </w:p>
    <w:p w14:paraId="6A941B6F">
      <w:pPr>
        <w:pStyle w:val="12"/>
        <w:numPr>
          <w:ilvl w:val="0"/>
          <w:numId w:val="2"/>
        </w:numPr>
        <w:spacing w:line="360" w:lineRule="auto"/>
        <w:jc w:val="both"/>
        <w:rPr>
          <w:b/>
          <w:lang w:val="es-ES"/>
        </w:rPr>
      </w:pPr>
      <w:r>
        <w:rPr>
          <w:b/>
          <w:lang w:val="es-ES"/>
        </w:rPr>
        <w:t>La Convención de los Derechos de las Personas con Discapacidad y los sistemas de apoyo.</w:t>
      </w:r>
    </w:p>
    <w:p w14:paraId="46CB12B9">
      <w:pPr>
        <w:spacing w:line="360" w:lineRule="auto"/>
        <w:jc w:val="both"/>
        <w:rPr>
          <w:lang w:val="es-ES"/>
        </w:rPr>
      </w:pPr>
      <w:r>
        <w:rPr>
          <w:rFonts w:hint="default"/>
          <w:lang w:val="es-ES"/>
        </w:rPr>
        <w:t>Aunque la</w:t>
      </w:r>
      <w:r>
        <w:rPr>
          <w:lang w:val="es-ES"/>
        </w:rPr>
        <w:t xml:space="preserve"> Convención no se refiere directamente al tema del cuidado,</w:t>
      </w:r>
      <w:r>
        <w:rPr>
          <w:rFonts w:hint="default"/>
          <w:lang w:val="es-ES"/>
        </w:rPr>
        <w:t xml:space="preserve"> </w:t>
      </w:r>
      <w:r>
        <w:rPr>
          <w:lang w:val="es-ES"/>
        </w:rPr>
        <w:t>sí concede una gran importancia al derecho de las personas con discapacidad a disponer de los distintos “apoyos” que puedan necesitar</w:t>
      </w:r>
      <w:r>
        <w:rPr>
          <w:rFonts w:hint="default"/>
          <w:lang w:val="es-ES"/>
        </w:rPr>
        <w:t xml:space="preserve"> </w:t>
      </w:r>
      <w:r>
        <w:rPr>
          <w:lang w:val="es-ES"/>
        </w:rPr>
        <w:t xml:space="preserve">para ejercer su autonomía y sus derechos y participar en la sociedad </w:t>
      </w:r>
      <w:r>
        <w:rPr>
          <w:i/>
          <w:lang w:val="es-ES"/>
        </w:rPr>
        <w:t>en igualdad de condiciones con las demás personas</w:t>
      </w:r>
      <w:r>
        <w:rPr>
          <w:lang w:val="es-ES"/>
        </w:rPr>
        <w:t xml:space="preserve">, lo que ofrece un marco orientativo para reflexionar </w:t>
      </w:r>
      <w:r>
        <w:rPr>
          <w:rFonts w:hint="default"/>
          <w:lang w:val="es-ES"/>
        </w:rPr>
        <w:t xml:space="preserve">sobre que </w:t>
      </w:r>
      <w:r>
        <w:rPr>
          <w:lang w:val="es-ES"/>
        </w:rPr>
        <w:t xml:space="preserve">entendemos por el “cuidado” bajo el enfoque de derechos. </w:t>
      </w:r>
    </w:p>
    <w:p w14:paraId="4BD0A211">
      <w:pPr>
        <w:spacing w:line="360" w:lineRule="auto"/>
        <w:jc w:val="both"/>
        <w:rPr>
          <w:rFonts w:cs="Arial"/>
        </w:rPr>
      </w:pPr>
      <w:r>
        <w:rPr>
          <w:rFonts w:hint="default" w:cs="Arial"/>
          <w:lang w:val="es-ES"/>
        </w:rPr>
        <w:t>Para</w:t>
      </w:r>
      <w:r>
        <w:rPr>
          <w:rFonts w:cs="Arial"/>
        </w:rPr>
        <w:t xml:space="preserve"> cumplir con su propósito </w:t>
      </w:r>
      <w:r>
        <w:rPr>
          <w:rFonts w:cs="Arial"/>
          <w:lang w:val="es-ES"/>
        </w:rPr>
        <w:t xml:space="preserve">de </w:t>
      </w:r>
      <w:r>
        <w:rPr>
          <w:rFonts w:cs="Arial"/>
          <w:i/>
          <w:lang w:val="es-ES"/>
        </w:rPr>
        <w:t>asegurar condiciones de igualdad para todas las personas con discapacidad</w:t>
      </w:r>
      <w:r>
        <w:rPr>
          <w:rFonts w:cs="Arial"/>
          <w:lang w:val="es-ES"/>
        </w:rPr>
        <w:t xml:space="preserve">, la Convención recurre a las formas tradicionales de igualdad: la formal (un trato igual para todas las personas) y la material ( evitando su discriminación), </w:t>
      </w:r>
      <w:r>
        <w:rPr>
          <w:rFonts w:hint="default" w:cs="Arial"/>
          <w:lang w:val="es-ES"/>
        </w:rPr>
        <w:t xml:space="preserve">y </w:t>
      </w:r>
      <w:r>
        <w:rPr>
          <w:rFonts w:cs="Arial"/>
          <w:lang w:val="es-ES"/>
        </w:rPr>
        <w:t xml:space="preserve">apela a la igualdad sustantiva (de hecho, o real), cuya </w:t>
      </w:r>
      <w:r>
        <w:rPr>
          <w:rFonts w:cs="Arial"/>
        </w:rPr>
        <w:t xml:space="preserve">materialización será lo que permita garantizar que las personas con discapacidad ejerzan sus derechos y participen en la sociedad </w:t>
      </w:r>
      <w:r>
        <w:rPr>
          <w:rFonts w:cs="Arial"/>
          <w:i/>
        </w:rPr>
        <w:t xml:space="preserve">en igualdad de condiciones con las demás personas, </w:t>
      </w:r>
      <w:r>
        <w:rPr>
          <w:rFonts w:cs="Arial"/>
        </w:rPr>
        <w:t>el propósito último de la Convención</w:t>
      </w:r>
      <w:r>
        <w:rPr>
          <w:rFonts w:cs="Arial"/>
          <w:i/>
        </w:rPr>
        <w:t>.</w:t>
      </w:r>
      <w:r>
        <w:rPr>
          <w:rFonts w:cs="Arial"/>
        </w:rPr>
        <w:t xml:space="preserve"> </w:t>
      </w:r>
    </w:p>
    <w:p w14:paraId="5C2D1C38">
      <w:pPr>
        <w:spacing w:line="360" w:lineRule="auto"/>
        <w:jc w:val="both"/>
        <w:rPr>
          <w:rFonts w:cs="Arial"/>
        </w:rPr>
      </w:pPr>
      <w:r>
        <w:rPr>
          <w:rFonts w:cs="Arial"/>
        </w:rPr>
        <w:t>Esta igualdad sustantiva</w:t>
      </w:r>
      <w:r>
        <w:rPr>
          <w:rFonts w:hint="default" w:cs="Arial"/>
          <w:lang w:val="es-ES"/>
        </w:rPr>
        <w:t xml:space="preserve">, </w:t>
      </w:r>
      <w:r>
        <w:rPr>
          <w:rFonts w:cs="Arial"/>
        </w:rPr>
        <w:t>exige al Estado adoptar las medidas necesarias,</w:t>
      </w:r>
      <w:r>
        <w:rPr>
          <w:rFonts w:hint="default" w:cs="Arial"/>
          <w:lang w:val="es-ES"/>
        </w:rPr>
        <w:t xml:space="preserve"> </w:t>
      </w:r>
      <w:r>
        <w:rPr>
          <w:rFonts w:cs="Arial"/>
        </w:rPr>
        <w:t>que tomen en cuenta y se orienten a eliminar, paliar o compensar las condiciones de desventaja estructural que</w:t>
      </w:r>
      <w:r>
        <w:rPr>
          <w:rFonts w:hint="default" w:cs="Arial"/>
          <w:lang w:val="es-ES"/>
        </w:rPr>
        <w:t xml:space="preserve">, </w:t>
      </w:r>
      <w:r>
        <w:rPr>
          <w:rFonts w:cs="Arial"/>
        </w:rPr>
        <w:t>de manera injusta</w:t>
      </w:r>
      <w:r>
        <w:rPr>
          <w:rFonts w:hint="default" w:cs="Arial"/>
          <w:lang w:val="es-ES"/>
        </w:rPr>
        <w:t>,</w:t>
      </w:r>
      <w:r>
        <w:rPr>
          <w:rFonts w:cs="Arial"/>
        </w:rPr>
        <w:t xml:space="preserve"> han dificultado</w:t>
      </w:r>
      <w:r>
        <w:rPr>
          <w:rFonts w:hint="default" w:cs="Arial"/>
          <w:lang w:val="es-ES"/>
        </w:rPr>
        <w:t xml:space="preserve"> o</w:t>
      </w:r>
      <w:r>
        <w:rPr>
          <w:rFonts w:cs="Arial"/>
        </w:rPr>
        <w:t xml:space="preserve"> impedido, que las personas con discapacidad ejerzan sus derechos y participen en la sociedad </w:t>
      </w:r>
      <w:r>
        <w:rPr>
          <w:rFonts w:cs="Arial"/>
          <w:i/>
        </w:rPr>
        <w:t>en condiciones de igualdad</w:t>
      </w:r>
      <w:r>
        <w:rPr>
          <w:rFonts w:cs="Arial"/>
        </w:rPr>
        <w:t xml:space="preserve"> con el resto de las personas.</w:t>
      </w:r>
      <w:r>
        <w:rPr>
          <w:rFonts w:hint="default" w:cs="Arial"/>
          <w:lang w:val="es-ES"/>
        </w:rPr>
        <w:t xml:space="preserve"> </w:t>
      </w:r>
      <w:r>
        <w:rPr>
          <w:rFonts w:cs="Arial"/>
        </w:rPr>
        <w:t xml:space="preserve">Los apoyos y la asistencia son parte de estas medidas necesarias para asegurar la igualdad y no discriminación de las personas con discapacidad en el ejercicio de sus derechos y en sus distintas maneras de participar en la sociedad. </w:t>
      </w:r>
    </w:p>
    <w:p w14:paraId="31A53A80">
      <w:pPr>
        <w:spacing w:line="360" w:lineRule="auto"/>
        <w:jc w:val="both"/>
        <w:rPr>
          <w:bCs/>
          <w:iCs/>
        </w:rPr>
      </w:pPr>
      <w:r>
        <w:rPr>
          <w:rFonts w:hint="default"/>
          <w:bCs/>
          <w:iCs/>
          <w:lang w:val="es-ES"/>
        </w:rPr>
        <w:t>L</w:t>
      </w:r>
      <w:r>
        <w:rPr>
          <w:bCs/>
          <w:iCs/>
        </w:rPr>
        <w:t xml:space="preserve">a </w:t>
      </w:r>
      <w:r>
        <w:rPr>
          <w:bCs/>
          <w:i/>
          <w:iCs/>
        </w:rPr>
        <w:t>igualdad de condiciones</w:t>
      </w:r>
      <w:r>
        <w:rPr>
          <w:bCs/>
          <w:iCs/>
        </w:rPr>
        <w:t xml:space="preserve"> para las personas con discapacidad </w:t>
      </w:r>
      <w:r>
        <w:rPr>
          <w:rFonts w:hint="default"/>
          <w:bCs/>
          <w:iCs/>
          <w:lang w:val="es-ES"/>
        </w:rPr>
        <w:t>se puede</w:t>
      </w:r>
      <w:r>
        <w:rPr>
          <w:bCs/>
          <w:iCs/>
        </w:rPr>
        <w:t xml:space="preserve"> agrupar de la siguiente manera:</w:t>
      </w:r>
    </w:p>
    <w:p w14:paraId="45548DE4">
      <w:pPr>
        <w:numPr>
          <w:ilvl w:val="0"/>
          <w:numId w:val="3"/>
        </w:numPr>
        <w:spacing w:line="360" w:lineRule="auto"/>
        <w:jc w:val="both"/>
        <w:rPr>
          <w:bCs/>
          <w:iCs/>
          <w:lang w:val="es-ES"/>
        </w:rPr>
      </w:pPr>
      <w:r>
        <w:rPr>
          <w:bCs/>
          <w:i/>
          <w:iCs/>
        </w:rPr>
        <w:t xml:space="preserve">Igualdad en el </w:t>
      </w:r>
      <w:r>
        <w:rPr>
          <w:b/>
          <w:bCs/>
          <w:i/>
          <w:iCs/>
        </w:rPr>
        <w:t>acceso al ejercicio de derechos</w:t>
      </w:r>
      <w:r>
        <w:rPr>
          <w:bCs/>
          <w:i/>
          <w:iCs/>
        </w:rPr>
        <w:t xml:space="preserve">; </w:t>
      </w:r>
    </w:p>
    <w:p w14:paraId="34C721B9">
      <w:pPr>
        <w:numPr>
          <w:ilvl w:val="0"/>
          <w:numId w:val="3"/>
        </w:numPr>
        <w:spacing w:line="360" w:lineRule="auto"/>
        <w:jc w:val="both"/>
        <w:rPr>
          <w:bCs/>
          <w:iCs/>
          <w:lang w:val="es-ES"/>
        </w:rPr>
      </w:pPr>
      <w:r>
        <w:rPr>
          <w:bCs/>
          <w:i/>
          <w:iCs/>
        </w:rPr>
        <w:t xml:space="preserve">Igualdad </w:t>
      </w:r>
      <w:r>
        <w:rPr>
          <w:b/>
          <w:bCs/>
          <w:i/>
          <w:iCs/>
        </w:rPr>
        <w:t>en el acceso a los entornos, la información y las comunicaciones</w:t>
      </w:r>
      <w:r>
        <w:rPr>
          <w:bCs/>
          <w:i/>
          <w:iCs/>
        </w:rPr>
        <w:t xml:space="preserve"> </w:t>
      </w:r>
      <w:r>
        <w:rPr>
          <w:bCs/>
          <w:iCs/>
        </w:rPr>
        <w:t xml:space="preserve">(la </w:t>
      </w:r>
      <w:r>
        <w:rPr>
          <w:bCs/>
          <w:i/>
          <w:iCs/>
        </w:rPr>
        <w:t>“Accesibilidad”</w:t>
      </w:r>
      <w:r>
        <w:rPr>
          <w:bCs/>
          <w:iCs/>
        </w:rPr>
        <w:t>, propiamente</w:t>
      </w:r>
      <w:r>
        <w:rPr>
          <w:bCs/>
          <w:i/>
          <w:iCs/>
        </w:rPr>
        <w:t>);</w:t>
      </w:r>
    </w:p>
    <w:p w14:paraId="5CF55C42">
      <w:pPr>
        <w:numPr>
          <w:ilvl w:val="0"/>
          <w:numId w:val="3"/>
        </w:numPr>
        <w:spacing w:after="240" w:line="360" w:lineRule="auto"/>
        <w:ind w:left="714" w:hanging="357"/>
        <w:jc w:val="both"/>
        <w:rPr>
          <w:bCs/>
          <w:iCs/>
          <w:lang w:val="es-ES"/>
        </w:rPr>
      </w:pPr>
      <w:r>
        <w:rPr>
          <w:bCs/>
          <w:i/>
          <w:iCs/>
        </w:rPr>
        <w:t xml:space="preserve">Igualdad en los </w:t>
      </w:r>
      <w:r>
        <w:rPr>
          <w:b/>
          <w:bCs/>
          <w:i/>
          <w:iCs/>
        </w:rPr>
        <w:t>procesos de inclusión y participación</w:t>
      </w:r>
      <w:r>
        <w:rPr>
          <w:bCs/>
          <w:i/>
          <w:iCs/>
        </w:rPr>
        <w:t xml:space="preserve"> de las personas con discapacidad en todos los espacios, sistemas y actividades de la sociedad</w:t>
      </w:r>
      <w:r>
        <w:rPr>
          <w:b/>
          <w:bCs/>
          <w:i/>
          <w:iCs/>
        </w:rPr>
        <w:t>.</w:t>
      </w:r>
    </w:p>
    <w:p w14:paraId="23C605FE">
      <w:pPr>
        <w:spacing w:line="360" w:lineRule="auto"/>
        <w:jc w:val="both"/>
        <w:rPr>
          <w:bCs/>
          <w:iCs/>
        </w:rPr>
      </w:pPr>
      <w:r>
        <w:rPr>
          <w:rFonts w:hint="default"/>
          <w:bCs/>
          <w:iCs/>
          <w:lang w:val="es-ES"/>
        </w:rPr>
        <w:t>Los ar</w:t>
      </w:r>
      <w:r>
        <w:rPr>
          <w:bCs/>
          <w:iCs/>
        </w:rPr>
        <w:t xml:space="preserve">tículos de la Convención  </w:t>
      </w:r>
      <w:r>
        <w:rPr>
          <w:rFonts w:hint="default"/>
          <w:bCs/>
          <w:iCs/>
          <w:lang w:val="es-ES"/>
        </w:rPr>
        <w:t>p</w:t>
      </w:r>
      <w:r>
        <w:rPr>
          <w:bCs/>
          <w:iCs/>
        </w:rPr>
        <w:t xml:space="preserve">revén formas de apoyo y asistencia para garantizar la igualdad de condiciones en el acceso y la participación de las personas con discapacidad se cuentan:  </w:t>
      </w:r>
    </w:p>
    <w:p w14:paraId="494944ED">
      <w:pPr>
        <w:pStyle w:val="12"/>
        <w:numPr>
          <w:ilvl w:val="0"/>
          <w:numId w:val="4"/>
        </w:numPr>
        <w:spacing w:line="360" w:lineRule="auto"/>
        <w:ind w:left="0" w:firstLine="0"/>
        <w:jc w:val="both"/>
        <w:rPr>
          <w:bCs/>
          <w:iCs/>
        </w:rPr>
      </w:pPr>
      <w:r>
        <w:rPr>
          <w:bCs/>
          <w:iCs/>
        </w:rPr>
        <w:t xml:space="preserve">El Artículo 9, </w:t>
      </w:r>
      <w:r>
        <w:rPr>
          <w:rFonts w:eastAsia="Times New Roman" w:cs="Times New Roman"/>
          <w:szCs w:val="20"/>
          <w:lang w:eastAsia="es-MX"/>
        </w:rPr>
        <w:t xml:space="preserve">sobre Accesibilidad, que establece que </w:t>
      </w:r>
      <w:r>
        <w:rPr>
          <w:rFonts w:eastAsia="Times New Roman" w:cs="Times New Roman"/>
          <w:i/>
          <w:szCs w:val="20"/>
          <w:lang w:eastAsia="es-MX"/>
        </w:rPr>
        <w:t xml:space="preserve">“a fin de que las personas con discapacidad puedan vivir en forma independiente y participar plenamente en todos los aspectos de la vida”, </w:t>
      </w:r>
      <w:r>
        <w:rPr>
          <w:rFonts w:eastAsia="Times New Roman" w:cs="Times New Roman"/>
          <w:szCs w:val="20"/>
          <w:lang w:eastAsia="es-MX"/>
        </w:rPr>
        <w:t xml:space="preserve">los Estados están obligados a garantizar condiciones de igualdad para ellas en </w:t>
      </w:r>
      <w:r>
        <w:rPr>
          <w:rFonts w:eastAsia="Times New Roman" w:cs="Times New Roman"/>
          <w:i/>
          <w:szCs w:val="20"/>
          <w:lang w:eastAsia="es-MX"/>
        </w:rPr>
        <w:t>el acceso a los entornos, la información y las comunicaciones</w:t>
      </w:r>
      <w:r>
        <w:rPr>
          <w:rFonts w:hint="default" w:eastAsia="Times New Roman" w:cs="Times New Roman"/>
          <w:i/>
          <w:szCs w:val="20"/>
          <w:lang w:val="es-ES" w:eastAsia="es-MX"/>
        </w:rPr>
        <w:t>.</w:t>
      </w:r>
    </w:p>
    <w:p w14:paraId="4C1043BB">
      <w:pPr>
        <w:pStyle w:val="12"/>
        <w:numPr>
          <w:numId w:val="0"/>
        </w:numPr>
        <w:spacing w:line="360" w:lineRule="auto"/>
        <w:ind w:leftChars="0"/>
        <w:jc w:val="both"/>
        <w:rPr>
          <w:bCs/>
          <w:iCs/>
        </w:rPr>
      </w:pPr>
      <w:r>
        <w:rPr>
          <w:rFonts w:hint="default" w:eastAsia="Times New Roman" w:cs="Times New Roman"/>
          <w:szCs w:val="20"/>
          <w:lang w:val="es-ES" w:eastAsia="es-MX"/>
        </w:rPr>
        <w:t>El</w:t>
      </w:r>
      <w:r>
        <w:rPr>
          <w:rFonts w:eastAsia="Times New Roman" w:cs="Times New Roman"/>
          <w:szCs w:val="20"/>
          <w:lang w:eastAsia="es-MX"/>
        </w:rPr>
        <w:t xml:space="preserve"> Artículo 9 prevé</w:t>
      </w:r>
      <w:r>
        <w:rPr>
          <w:bCs/>
          <w:iCs/>
        </w:rPr>
        <w:t xml:space="preserve"> formas de apoyo – como la asistencia humana o animal y las y los intermediarios, incluidos guías e intérpretes (de lenguas de señas y otros) – que tienen por objeto posibilitar el acceso de las personas con discapacidad en condiciones de igualdad </w:t>
      </w:r>
    </w:p>
    <w:p w14:paraId="740E5BE7">
      <w:pPr>
        <w:pStyle w:val="12"/>
        <w:numPr>
          <w:numId w:val="0"/>
        </w:numPr>
        <w:spacing w:line="360" w:lineRule="auto"/>
        <w:ind w:leftChars="0"/>
        <w:jc w:val="both"/>
        <w:rPr>
          <w:bCs/>
          <w:iCs/>
        </w:rPr>
      </w:pPr>
    </w:p>
    <w:p w14:paraId="633263CF">
      <w:pPr>
        <w:pStyle w:val="12"/>
        <w:numPr>
          <w:ilvl w:val="0"/>
          <w:numId w:val="4"/>
        </w:numPr>
        <w:spacing w:line="360" w:lineRule="auto"/>
        <w:ind w:left="0" w:firstLine="0"/>
        <w:jc w:val="both"/>
        <w:rPr>
          <w:bCs/>
          <w:iCs/>
        </w:rPr>
      </w:pPr>
      <w:r>
        <w:rPr>
          <w:rFonts w:hint="default"/>
          <w:bCs/>
          <w:iCs/>
          <w:lang w:val="es-ES"/>
        </w:rPr>
        <w:t>L</w:t>
      </w:r>
      <w:r>
        <w:rPr>
          <w:bCs/>
          <w:iCs/>
        </w:rPr>
        <w:t>os artículos</w:t>
      </w:r>
      <w:r>
        <w:rPr>
          <w:rFonts w:hint="default"/>
          <w:bCs/>
          <w:iCs/>
          <w:lang w:val="es-ES"/>
        </w:rPr>
        <w:t xml:space="preserve"> </w:t>
      </w:r>
      <w:r>
        <w:rPr>
          <w:bCs/>
          <w:iCs/>
        </w:rPr>
        <w:t xml:space="preserve">12 (Igualdad ante la Ley) y 19 (Derecho a vivir y ser incluido en la comunidad), </w:t>
      </w:r>
      <w:r>
        <w:rPr>
          <w:rFonts w:hint="default"/>
          <w:bCs/>
          <w:iCs/>
          <w:lang w:val="es-ES"/>
        </w:rPr>
        <w:t xml:space="preserve">se </w:t>
      </w:r>
      <w:r>
        <w:rPr>
          <w:bCs/>
          <w:iCs/>
        </w:rPr>
        <w:t>presupone la existencia de “S</w:t>
      </w:r>
      <w:r>
        <w:rPr>
          <w:bCs/>
          <w:i/>
          <w:iCs/>
        </w:rPr>
        <w:t>istemas (o modelos) de apoyos</w:t>
      </w:r>
      <w:r>
        <w:rPr>
          <w:bCs/>
          <w:iCs/>
        </w:rPr>
        <w:t>”, cuya implementación y desarrollo sería la obligación del Estado garantizar:</w:t>
      </w:r>
    </w:p>
    <w:p w14:paraId="2D3126FB">
      <w:pPr>
        <w:numPr>
          <w:ilvl w:val="0"/>
          <w:numId w:val="5"/>
        </w:numPr>
        <w:spacing w:line="360" w:lineRule="auto"/>
        <w:jc w:val="both"/>
        <w:rPr>
          <w:bCs/>
          <w:iCs/>
        </w:rPr>
      </w:pPr>
      <w:r>
        <w:rPr>
          <w:b/>
          <w:bCs/>
          <w:i/>
          <w:iCs/>
        </w:rPr>
        <w:t>El Sistema (o modelo) de Apoyos para la toma de decisiones (Artículo 12.3)</w:t>
      </w:r>
      <w:r>
        <w:rPr>
          <w:bCs/>
          <w:iCs/>
        </w:rPr>
        <w:t xml:space="preserve">, </w:t>
      </w:r>
      <w:r>
        <w:rPr>
          <w:rFonts w:hint="default"/>
          <w:bCs/>
          <w:iCs/>
          <w:lang w:val="es-ES"/>
        </w:rPr>
        <w:t>con</w:t>
      </w:r>
      <w:r>
        <w:rPr>
          <w:bCs/>
          <w:iCs/>
        </w:rPr>
        <w:t xml:space="preserve"> formas de asistencia humana, como el apoyo entre pares, los asistentes personales, la consejería profesional, los grupos de apoyo, la elección de una o más personas de la confianza de la persona con discapacidad, familiar o no, para asistirle en la toma de decisiones y en la defensa de sus intereses, etc</w:t>
      </w:r>
      <w:r>
        <w:rPr>
          <w:rFonts w:hint="default"/>
          <w:bCs/>
          <w:iCs/>
          <w:lang w:val="es-ES"/>
        </w:rPr>
        <w:t xml:space="preserve">, </w:t>
      </w:r>
      <w:r>
        <w:rPr>
          <w:bCs/>
          <w:iCs/>
        </w:rPr>
        <w:t>el ejercicio de su capacidad jurídica (la toma de decisiones con efectos legales) y el ejercicio pleno</w:t>
      </w:r>
      <w:r>
        <w:rPr>
          <w:rFonts w:hint="default"/>
          <w:bCs/>
          <w:iCs/>
          <w:lang w:val="es-ES"/>
        </w:rPr>
        <w:t>,</w:t>
      </w:r>
      <w:r>
        <w:rPr>
          <w:bCs/>
          <w:iCs/>
        </w:rPr>
        <w:t xml:space="preserve"> en autonomía y en igualdad</w:t>
      </w:r>
      <w:r>
        <w:rPr>
          <w:rFonts w:hint="default"/>
          <w:bCs/>
          <w:iCs/>
          <w:lang w:val="es-ES"/>
        </w:rPr>
        <w:t xml:space="preserve">, </w:t>
      </w:r>
      <w:r>
        <w:rPr>
          <w:bCs/>
          <w:iCs/>
        </w:rPr>
        <w:t>de todos sus derechos</w:t>
      </w:r>
    </w:p>
    <w:p w14:paraId="355FD82E">
      <w:pPr>
        <w:numPr>
          <w:ilvl w:val="0"/>
          <w:numId w:val="5"/>
        </w:numPr>
        <w:spacing w:line="360" w:lineRule="auto"/>
        <w:jc w:val="both"/>
        <w:rPr>
          <w:bCs/>
          <w:iCs/>
        </w:rPr>
      </w:pPr>
      <w:r>
        <w:rPr>
          <w:b/>
          <w:bCs/>
          <w:i/>
          <w:iCs/>
        </w:rPr>
        <w:t>El sistema (o modelo) social de inclusión en la vida comunitaria (Artículo 19)</w:t>
      </w:r>
      <w:r>
        <w:rPr>
          <w:rFonts w:hint="default"/>
          <w:b/>
          <w:bCs/>
          <w:i/>
          <w:iCs/>
          <w:lang w:val="es-ES"/>
        </w:rPr>
        <w:t xml:space="preserve"> </w:t>
      </w:r>
      <w:r>
        <w:rPr>
          <w:bCs/>
          <w:iCs/>
        </w:rPr>
        <w:t>prevé, el acceso de las personas con discapacidad a servicios comunitarios de apoyo y asistencia, incluidos servicios profesionales,</w:t>
      </w:r>
      <w:r>
        <w:rPr>
          <w:rFonts w:hint="default"/>
          <w:bCs/>
          <w:iCs/>
          <w:lang w:val="es-ES"/>
        </w:rPr>
        <w:t xml:space="preserve"> </w:t>
      </w:r>
      <w:r>
        <w:t>asistencia domiciliaria, residencial y otros servicios de apoyo</w:t>
      </w:r>
      <w:r>
        <w:rPr>
          <w:bCs/>
          <w:iCs/>
        </w:rPr>
        <w:t>, así como las redes comunitarias  y cualquier otra forma de asistencia que ellas requieran y puedan brindar</w:t>
      </w:r>
      <w:r>
        <w:rPr>
          <w:rFonts w:hint="default"/>
          <w:bCs/>
          <w:iCs/>
          <w:lang w:val="es-ES"/>
        </w:rPr>
        <w:t xml:space="preserve"> </w:t>
      </w:r>
      <w:r>
        <w:t xml:space="preserve"> amigos, familia y  compañeros de escuela</w:t>
      </w:r>
      <w:r>
        <w:rPr>
          <w:bCs/>
          <w:iCs/>
        </w:rPr>
        <w:t xml:space="preserve"> y de trabajo de forma natural, en tanto faciliten su vida independiente dentro de la comunidad</w:t>
      </w:r>
      <w:r>
        <w:rPr>
          <w:rFonts w:hint="default"/>
          <w:bCs/>
          <w:iCs/>
          <w:lang w:val="es-ES"/>
        </w:rPr>
        <w:t xml:space="preserve">. Por otro lado </w:t>
      </w:r>
      <w:r>
        <w:rPr>
          <w:bCs/>
          <w:iCs/>
        </w:rPr>
        <w:t xml:space="preserve">la adecuación de los servicios que se ofrecen a la población en general (salud, educación, cultura, recreación, deporte, etc.) a los requerimientos particulares  de las personas con los distintos tipos de discapacidad, </w:t>
      </w:r>
      <w:r>
        <w:rPr>
          <w:rFonts w:hint="default"/>
          <w:bCs/>
          <w:iCs/>
          <w:lang w:val="es-ES"/>
        </w:rPr>
        <w:t>que</w:t>
      </w:r>
      <w:r>
        <w:rPr>
          <w:bCs/>
          <w:iCs/>
        </w:rPr>
        <w:t xml:space="preserve"> posibiliten su plena inclusión y participación en los ámbitos de la vida comunitaria </w:t>
      </w:r>
      <w:r>
        <w:rPr>
          <w:rFonts w:hint="default"/>
          <w:bCs/>
          <w:iCs/>
          <w:lang w:val="es-ES"/>
        </w:rPr>
        <w:t>-</w:t>
      </w:r>
    </w:p>
    <w:p w14:paraId="4C20C15F">
      <w:pPr>
        <w:spacing w:line="360" w:lineRule="auto"/>
        <w:ind w:left="360"/>
        <w:jc w:val="both"/>
        <w:rPr>
          <w:bCs/>
          <w:iCs/>
        </w:rPr>
      </w:pPr>
    </w:p>
    <w:p w14:paraId="40C0A6D8">
      <w:pPr>
        <w:pStyle w:val="12"/>
        <w:numPr>
          <w:ilvl w:val="0"/>
          <w:numId w:val="6"/>
        </w:numPr>
        <w:spacing w:line="360" w:lineRule="auto"/>
        <w:ind w:left="0" w:firstLine="0"/>
        <w:jc w:val="both"/>
        <w:rPr>
          <w:bCs/>
          <w:iCs/>
        </w:rPr>
      </w:pPr>
      <w:r>
        <w:rPr>
          <w:bCs/>
          <w:iCs/>
        </w:rPr>
        <w:t xml:space="preserve">Adicionalmente, algunos de los derechos específicos reconocidos por la Convención también prevén formas  de apoyos; es el caso de los artículos  16, 23, 24, 26, 28 y 29: </w:t>
      </w:r>
    </w:p>
    <w:tbl>
      <w:tblPr>
        <w:tblStyle w:val="3"/>
        <w:tblW w:w="8933" w:type="dxa"/>
        <w:tblInd w:w="0" w:type="dxa"/>
        <w:tblLayout w:type="autofit"/>
        <w:tblCellMar>
          <w:top w:w="0" w:type="dxa"/>
          <w:left w:w="0" w:type="dxa"/>
          <w:bottom w:w="0" w:type="dxa"/>
          <w:right w:w="0" w:type="dxa"/>
        </w:tblCellMar>
      </w:tblPr>
      <w:tblGrid>
        <w:gridCol w:w="3688"/>
        <w:gridCol w:w="5245"/>
      </w:tblGrid>
      <w:tr w14:paraId="4BA181C5">
        <w:trPr>
          <w:trHeight w:val="905" w:hRule="atLeast"/>
        </w:trPr>
        <w:tc>
          <w:tcPr>
            <w:tcW w:w="3688" w:type="dxa"/>
            <w:tcBorders>
              <w:top w:val="single" w:color="FDEADA" w:sz="24"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vAlign w:val="center"/>
          </w:tcPr>
          <w:p w14:paraId="2DBA1C8E">
            <w:pPr>
              <w:overflowPunct w:val="0"/>
              <w:autoSpaceDE w:val="0"/>
              <w:autoSpaceDN w:val="0"/>
              <w:adjustRightInd w:val="0"/>
              <w:spacing w:after="0" w:line="240" w:lineRule="auto"/>
              <w:jc w:val="center"/>
              <w:textAlignment w:val="baseline"/>
              <w:rPr>
                <w:rFonts w:eastAsia="Times New Roman" w:cs="Times New Roman"/>
                <w:b/>
                <w:bCs/>
                <w:i/>
                <w:iCs/>
                <w:sz w:val="24"/>
                <w:szCs w:val="20"/>
                <w:lang w:val="es-ES" w:eastAsia="es-MX"/>
              </w:rPr>
            </w:pPr>
            <w:r>
              <w:rPr>
                <w:rFonts w:eastAsia="Times New Roman" w:cs="Times New Roman"/>
                <w:b/>
                <w:bCs/>
                <w:i/>
                <w:iCs/>
                <w:sz w:val="24"/>
                <w:szCs w:val="20"/>
                <w:lang w:val="es-ES" w:eastAsia="es-MX"/>
              </w:rPr>
              <w:t>Artículo CDPD,</w:t>
            </w:r>
          </w:p>
          <w:p w14:paraId="505A2ECD">
            <w:pPr>
              <w:overflowPunct w:val="0"/>
              <w:autoSpaceDE w:val="0"/>
              <w:autoSpaceDN w:val="0"/>
              <w:adjustRightInd w:val="0"/>
              <w:spacing w:after="0" w:line="240" w:lineRule="auto"/>
              <w:jc w:val="center"/>
              <w:textAlignment w:val="baseline"/>
              <w:rPr>
                <w:rFonts w:eastAsia="Times New Roman" w:cs="Times New Roman"/>
                <w:b/>
                <w:bCs/>
                <w:i/>
                <w:iCs/>
                <w:sz w:val="24"/>
                <w:szCs w:val="20"/>
                <w:lang w:val="es-ES" w:eastAsia="es-MX"/>
              </w:rPr>
            </w:pPr>
            <w:r>
              <w:rPr>
                <w:rFonts w:eastAsia="Times New Roman" w:cs="Times New Roman"/>
                <w:b/>
                <w:bCs/>
                <w:i/>
                <w:iCs/>
                <w:sz w:val="24"/>
                <w:szCs w:val="20"/>
                <w:lang w:val="es-ES" w:eastAsia="es-MX"/>
              </w:rPr>
              <w:t>el Derecho de las PcD</w:t>
            </w:r>
          </w:p>
        </w:tc>
        <w:tc>
          <w:tcPr>
            <w:tcW w:w="5245" w:type="dxa"/>
            <w:tcBorders>
              <w:top w:val="single" w:color="FDEADA" w:sz="24"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vAlign w:val="center"/>
          </w:tcPr>
          <w:p w14:paraId="508A29D7">
            <w:pPr>
              <w:overflowPunct w:val="0"/>
              <w:autoSpaceDE w:val="0"/>
              <w:autoSpaceDN w:val="0"/>
              <w:adjustRightInd w:val="0"/>
              <w:spacing w:after="0" w:line="240" w:lineRule="auto"/>
              <w:jc w:val="center"/>
              <w:textAlignment w:val="baseline"/>
              <w:rPr>
                <w:rFonts w:eastAsia="Times New Roman" w:cs="Times New Roman"/>
                <w:b/>
                <w:bCs/>
                <w:i/>
                <w:iCs/>
                <w:sz w:val="24"/>
                <w:szCs w:val="20"/>
                <w:lang w:val="es-ES" w:eastAsia="es-MX"/>
              </w:rPr>
            </w:pPr>
            <w:r>
              <w:rPr>
                <w:rFonts w:eastAsia="Times New Roman" w:cs="Times New Roman"/>
                <w:b/>
                <w:bCs/>
                <w:i/>
                <w:iCs/>
                <w:sz w:val="24"/>
                <w:szCs w:val="20"/>
                <w:lang w:val="es-ES" w:eastAsia="es-MX"/>
              </w:rPr>
              <w:t>Asistencia o Apoyo específico,</w:t>
            </w:r>
          </w:p>
          <w:p w14:paraId="19EB3BB3">
            <w:pPr>
              <w:overflowPunct w:val="0"/>
              <w:autoSpaceDE w:val="0"/>
              <w:autoSpaceDN w:val="0"/>
              <w:adjustRightInd w:val="0"/>
              <w:spacing w:after="0" w:line="240" w:lineRule="auto"/>
              <w:jc w:val="center"/>
              <w:textAlignment w:val="baseline"/>
              <w:rPr>
                <w:rFonts w:eastAsia="Times New Roman" w:cs="Times New Roman"/>
                <w:b/>
                <w:bCs/>
                <w:i/>
                <w:iCs/>
                <w:sz w:val="24"/>
                <w:szCs w:val="20"/>
                <w:lang w:val="es-ES" w:eastAsia="es-MX"/>
              </w:rPr>
            </w:pPr>
            <w:r>
              <w:rPr>
                <w:rFonts w:eastAsia="Times New Roman" w:cs="Times New Roman"/>
                <w:b/>
                <w:bCs/>
                <w:i/>
                <w:iCs/>
                <w:sz w:val="24"/>
                <w:szCs w:val="20"/>
                <w:lang w:val="es-ES" w:eastAsia="es-MX"/>
              </w:rPr>
              <w:t xml:space="preserve">cuya garantía es Obligación del Estado </w:t>
            </w:r>
          </w:p>
        </w:tc>
      </w:tr>
      <w:tr w14:paraId="77424DED">
        <w:trPr>
          <w:trHeight w:val="850" w:hRule="atLeast"/>
        </w:trPr>
        <w:tc>
          <w:tcPr>
            <w:tcW w:w="3688" w:type="dxa"/>
            <w:tcBorders>
              <w:top w:val="single" w:color="FDEADA" w:sz="24"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5DE4E01B">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val="es-ES" w:eastAsia="es-MX"/>
              </w:rPr>
              <w:t>16: Protección contra la explotación, la violencia y el abuso</w:t>
            </w:r>
          </w:p>
        </w:tc>
        <w:tc>
          <w:tcPr>
            <w:tcW w:w="5245" w:type="dxa"/>
            <w:tcBorders>
              <w:top w:val="single" w:color="FDEADA" w:sz="24"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44CD2987">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val="es-ES" w:eastAsia="es-MX"/>
              </w:rPr>
              <w:t>Asistencia y Apoyo (psicológico y legal) a las personas con discapacidad y sus familias y cuidadores, víctimas de explotación, violencia y abuso;</w:t>
            </w:r>
          </w:p>
        </w:tc>
      </w:tr>
      <w:tr w14:paraId="6D7A3E58">
        <w:trPr>
          <w:trHeight w:val="811" w:hRule="atLeast"/>
        </w:trPr>
        <w:tc>
          <w:tcPr>
            <w:tcW w:w="3688"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1B36A06F">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 xml:space="preserve">23: Respeto del hogar y la familia </w:t>
            </w:r>
          </w:p>
        </w:tc>
        <w:tc>
          <w:tcPr>
            <w:tcW w:w="5245"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2F530E11">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Asistencia del Estado para la crianza de hijos por padres con discapacidad, y servicios y apoyo a los menores con discapacidad y sus familias;</w:t>
            </w:r>
          </w:p>
        </w:tc>
      </w:tr>
      <w:tr w14:paraId="2D99E706">
        <w:trPr>
          <w:trHeight w:val="624" w:hRule="atLeast"/>
        </w:trPr>
        <w:tc>
          <w:tcPr>
            <w:tcW w:w="3688" w:type="dxa"/>
            <w:tcBorders>
              <w:top w:val="single" w:color="FDEADA" w:sz="8"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45F6A402">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 xml:space="preserve">24: Educación </w:t>
            </w:r>
          </w:p>
        </w:tc>
        <w:tc>
          <w:tcPr>
            <w:tcW w:w="5245" w:type="dxa"/>
            <w:tcBorders>
              <w:top w:val="single" w:color="FDEADA" w:sz="8"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18C28256">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Medidas de apoyo personalizadas y efectivas, las necesarias;</w:t>
            </w:r>
          </w:p>
        </w:tc>
      </w:tr>
      <w:tr w14:paraId="6CBB330E">
        <w:trPr>
          <w:trHeight w:val="567" w:hRule="atLeast"/>
        </w:trPr>
        <w:tc>
          <w:tcPr>
            <w:tcW w:w="3688"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08843BF2">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 xml:space="preserve">26: Habilitación y Rehabilitación </w:t>
            </w:r>
          </w:p>
        </w:tc>
        <w:tc>
          <w:tcPr>
            <w:tcW w:w="5245"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46FB9026">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val="es-ES" w:eastAsia="es-MX"/>
              </w:rPr>
              <w:t>El apoyo de personas que se hallen en circunstancias iguales o similares (a</w:t>
            </w:r>
            <w:r>
              <w:rPr>
                <w:rFonts w:eastAsia="Times New Roman" w:cs="Times New Roman"/>
                <w:b/>
                <w:bCs/>
                <w:i/>
                <w:iCs/>
                <w:szCs w:val="20"/>
                <w:lang w:eastAsia="es-MX"/>
              </w:rPr>
              <w:t>poyo entre pares);</w:t>
            </w:r>
          </w:p>
        </w:tc>
      </w:tr>
      <w:tr w14:paraId="4C2D3F86">
        <w:trPr>
          <w:trHeight w:val="850" w:hRule="atLeast"/>
        </w:trPr>
        <w:tc>
          <w:tcPr>
            <w:tcW w:w="3688" w:type="dxa"/>
            <w:tcBorders>
              <w:top w:val="single" w:color="FDEADA" w:sz="8"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682BF4AF">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28: Nivel de vida adecuado</w:t>
            </w:r>
          </w:p>
          <w:p w14:paraId="7B72D171">
            <w:pPr>
              <w:overflowPunct w:val="0"/>
              <w:autoSpaceDE w:val="0"/>
              <w:autoSpaceDN w:val="0"/>
              <w:adjustRightInd w:val="0"/>
              <w:spacing w:after="0" w:line="240" w:lineRule="auto"/>
              <w:textAlignment w:val="baseline"/>
              <w:rPr>
                <w:rFonts w:eastAsia="Times New Roman" w:cs="Times New Roman"/>
                <w:szCs w:val="20"/>
                <w:lang w:eastAsia="es-MX"/>
              </w:rPr>
            </w:pPr>
          </w:p>
        </w:tc>
        <w:tc>
          <w:tcPr>
            <w:tcW w:w="5245" w:type="dxa"/>
            <w:tcBorders>
              <w:top w:val="single" w:color="FDEADA" w:sz="8" w:space="0"/>
              <w:left w:val="single" w:color="FDEADA" w:sz="8" w:space="0"/>
              <w:bottom w:val="single" w:color="FDEADA" w:sz="8" w:space="0"/>
              <w:right w:val="single" w:color="FDEADA" w:sz="8" w:space="0"/>
            </w:tcBorders>
            <w:shd w:val="clear" w:color="auto" w:fill="D0D8E8"/>
            <w:tcMar>
              <w:top w:w="72" w:type="dxa"/>
              <w:left w:w="144" w:type="dxa"/>
              <w:bottom w:w="72" w:type="dxa"/>
              <w:right w:w="144" w:type="dxa"/>
            </w:tcMar>
          </w:tcPr>
          <w:p w14:paraId="109CC7AE">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Asistencia del Estado a las personas con discapacidad y sus familias para acceder a servicios y asistencia y a la protección social, particularmente en situaciones de pobreza;</w:t>
            </w:r>
          </w:p>
        </w:tc>
      </w:tr>
      <w:tr w14:paraId="74572491">
        <w:trPr>
          <w:trHeight w:val="567" w:hRule="atLeast"/>
        </w:trPr>
        <w:tc>
          <w:tcPr>
            <w:tcW w:w="3688"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354FB5F4">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29: Derechos políticos, en particular, el derecho al voto</w:t>
            </w:r>
          </w:p>
        </w:tc>
        <w:tc>
          <w:tcPr>
            <w:tcW w:w="5245" w:type="dxa"/>
            <w:tcBorders>
              <w:top w:val="single" w:color="FDEADA" w:sz="8" w:space="0"/>
              <w:left w:val="single" w:color="FDEADA" w:sz="8" w:space="0"/>
              <w:bottom w:val="single" w:color="FDEADA" w:sz="8" w:space="0"/>
              <w:right w:val="single" w:color="FDEADA" w:sz="8" w:space="0"/>
            </w:tcBorders>
            <w:shd w:val="clear" w:color="auto" w:fill="E9EDF4"/>
            <w:tcMar>
              <w:top w:w="72" w:type="dxa"/>
              <w:left w:w="144" w:type="dxa"/>
              <w:bottom w:w="72" w:type="dxa"/>
              <w:right w:w="144" w:type="dxa"/>
            </w:tcMar>
          </w:tcPr>
          <w:p w14:paraId="22DE639B">
            <w:pPr>
              <w:overflowPunct w:val="0"/>
              <w:autoSpaceDE w:val="0"/>
              <w:autoSpaceDN w:val="0"/>
              <w:adjustRightInd w:val="0"/>
              <w:spacing w:after="0" w:line="240" w:lineRule="auto"/>
              <w:textAlignment w:val="baseline"/>
              <w:rPr>
                <w:rFonts w:eastAsia="Times New Roman" w:cs="Times New Roman"/>
                <w:szCs w:val="20"/>
                <w:lang w:eastAsia="es-MX"/>
              </w:rPr>
            </w:pPr>
            <w:r>
              <w:rPr>
                <w:rFonts w:eastAsia="Times New Roman" w:cs="Times New Roman"/>
                <w:b/>
                <w:bCs/>
                <w:i/>
                <w:iCs/>
                <w:szCs w:val="20"/>
                <w:lang w:eastAsia="es-MX"/>
              </w:rPr>
              <w:t>El apoyo - a petición de la persona con discapacidad - de una persona de su elección para asistirle al votar.</w:t>
            </w:r>
          </w:p>
        </w:tc>
      </w:tr>
    </w:tbl>
    <w:p w14:paraId="48583DDC">
      <w:pPr>
        <w:spacing w:line="360" w:lineRule="auto"/>
        <w:jc w:val="both"/>
        <w:rPr>
          <w:bCs/>
          <w:iCs/>
          <w:lang w:val="es-ES"/>
        </w:rPr>
      </w:pPr>
    </w:p>
    <w:p w14:paraId="6C793761">
      <w:pPr>
        <w:spacing w:line="360" w:lineRule="auto"/>
        <w:jc w:val="both"/>
        <w:rPr>
          <w:bCs/>
          <w:iCs/>
        </w:rPr>
      </w:pPr>
      <w:r>
        <w:rPr>
          <w:rFonts w:hint="default"/>
          <w:bCs/>
          <w:iCs/>
          <w:lang w:val="es-ES"/>
        </w:rPr>
        <w:t>Es importante diferenciar</w:t>
      </w:r>
      <w:r>
        <w:rPr>
          <w:bCs/>
          <w:iCs/>
          <w:lang w:val="es-ES"/>
        </w:rPr>
        <w:t xml:space="preserve"> la asistencia que da pie a políticas sociales proteccionistas</w:t>
      </w:r>
      <w:r>
        <w:rPr>
          <w:bCs/>
          <w:iCs/>
        </w:rPr>
        <w:t xml:space="preserve"> de los apoyos y la asistencia como los establece este instrumento internacional.  La primera hace referencia a aquellos bienes y servicios que se brindan a quien se considera incapaz de valerse por sí mismo, es decir, a un “objeto de atención”. Bajo este enfoque “asistencialista”, las personas con discapacidad pierden su autonomía y pasan a depender de titulares de obligaciones respecto de ellas</w:t>
      </w:r>
      <w:r>
        <w:rPr>
          <w:rFonts w:hint="default"/>
          <w:bCs/>
          <w:iCs/>
          <w:lang w:val="es-ES"/>
        </w:rPr>
        <w:t>,</w:t>
      </w:r>
      <w:r>
        <w:rPr>
          <w:bCs/>
          <w:iCs/>
          <w:lang w:val="es-ES"/>
        </w:rPr>
        <w:t xml:space="preserve"> </w:t>
      </w:r>
      <w:r>
        <w:rPr>
          <w:bCs/>
          <w:iCs/>
        </w:rPr>
        <w:t>el Estado y la sociedad delegan (o se desentienden de) la responsabilidad respecto de las personas con discapacidad. </w:t>
      </w:r>
    </w:p>
    <w:p w14:paraId="4D21A9BF">
      <w:pPr>
        <w:spacing w:line="360" w:lineRule="auto"/>
        <w:jc w:val="both"/>
        <w:rPr>
          <w:bCs/>
          <w:iCs/>
        </w:rPr>
      </w:pPr>
      <w:r>
        <w:rPr>
          <w:bCs/>
          <w:iCs/>
        </w:rPr>
        <w:t>Al contrario, los apoyos y la asistencia como se establecen en la Convención son</w:t>
      </w:r>
      <w:r>
        <w:rPr>
          <w:bCs/>
          <w:iCs/>
          <w:lang w:val="es-ES"/>
        </w:rPr>
        <w:t xml:space="preserve"> aquellos</w:t>
      </w:r>
      <w:r>
        <w:rPr>
          <w:bCs/>
          <w:i/>
          <w:iCs/>
        </w:rPr>
        <w:t xml:space="preserve"> </w:t>
      </w:r>
      <w:r>
        <w:rPr>
          <w:bCs/>
          <w:iCs/>
        </w:rPr>
        <w:t>bienes y servicios que se brind</w:t>
      </w:r>
      <w:r>
        <w:rPr>
          <w:rFonts w:hint="default"/>
          <w:bCs/>
          <w:iCs/>
          <w:lang w:val="es-ES"/>
        </w:rPr>
        <w:t>a</w:t>
      </w:r>
      <w:r>
        <w:rPr>
          <w:bCs/>
          <w:iCs/>
        </w:rPr>
        <w:t xml:space="preserve"> </w:t>
      </w:r>
      <w:r>
        <w:rPr>
          <w:rFonts w:hint="default"/>
          <w:bCs/>
          <w:iCs/>
          <w:lang w:val="es-ES"/>
        </w:rPr>
        <w:t xml:space="preserve">destaca </w:t>
      </w:r>
      <w:r>
        <w:rPr>
          <w:bCs/>
          <w:iCs/>
        </w:rPr>
        <w:t>persona con discapacidad es quien está a cargo de su propia vida y tiene la libertad y la responsabilidad de tomar las propias decisiones, incluida la de si precisa – o no, y cuándo, cómo y de quién o quiénes – algún tipo de apoyo o asistencia, a sabiendas de que cuenta con la garantía normativa de que ésta y todas sus decisiones y preferencias deben serle respetadas.</w:t>
      </w:r>
    </w:p>
    <w:p w14:paraId="52C21F4A">
      <w:pPr>
        <w:spacing w:line="360" w:lineRule="auto"/>
        <w:jc w:val="both"/>
        <w:rPr>
          <w:b/>
          <w:bCs/>
          <w:iCs/>
        </w:rPr>
      </w:pPr>
    </w:p>
    <w:p w14:paraId="42A95179">
      <w:pPr>
        <w:pStyle w:val="12"/>
        <w:numPr>
          <w:ilvl w:val="0"/>
          <w:numId w:val="2"/>
        </w:numPr>
        <w:spacing w:line="360" w:lineRule="auto"/>
        <w:jc w:val="both"/>
        <w:rPr>
          <w:b/>
          <w:bCs/>
          <w:iCs/>
          <w:lang w:val="es-ES"/>
        </w:rPr>
      </w:pPr>
      <w:r>
        <w:rPr>
          <w:b/>
          <w:bCs/>
          <w:iCs/>
          <w:lang w:val="es-ES"/>
        </w:rPr>
        <w:t>La necesidad de cultivar una cultura del buen trato y fortalecer redes y espacios solidarios de apoyo.</w:t>
      </w:r>
    </w:p>
    <w:p w14:paraId="06091697">
      <w:pPr>
        <w:spacing w:line="360" w:lineRule="auto"/>
        <w:jc w:val="both"/>
        <w:rPr>
          <w:bCs/>
          <w:iCs/>
          <w:lang w:val="es-ES"/>
        </w:rPr>
      </w:pPr>
      <w:r>
        <w:rPr>
          <w:bCs/>
          <w:iCs/>
          <w:lang w:val="es-ES"/>
        </w:rPr>
        <w:t xml:space="preserve"> </w:t>
      </w:r>
      <w:r>
        <w:rPr>
          <w:rFonts w:hint="default"/>
          <w:bCs/>
          <w:iCs/>
          <w:lang w:val="es-ES"/>
        </w:rPr>
        <w:t>H</w:t>
      </w:r>
      <w:r>
        <w:rPr>
          <w:bCs/>
          <w:iCs/>
          <w:lang w:val="es-ES"/>
        </w:rPr>
        <w:t xml:space="preserve">ay en la CDPD un recurso para reconocer lo que podríamos llamar la dimensión legal del cuidado (explicitada en este marco normativo y del cual hemos comentado algunos aspectos en el apartado anterior). Por otro lado, estamos convencidos de la necesidad de fomentar la autonomía y la independencia de las personas con discapacidad, redimensionar y revalorar el papel de las y los cuidadores, cultivar una cultura del buen trato y fortalecer redes y espacios solidarios de apoyo, de ahí nuestro interés en el tema del cuidado. </w:t>
      </w:r>
    </w:p>
    <w:p w14:paraId="6CD8EE81">
      <w:pPr>
        <w:spacing w:line="360" w:lineRule="auto"/>
        <w:jc w:val="both"/>
        <w:rPr>
          <w:bCs/>
          <w:iCs/>
          <w:lang w:val="es-ES"/>
        </w:rPr>
      </w:pPr>
      <w:r>
        <w:rPr>
          <w:bCs/>
          <w:iCs/>
          <w:lang w:val="es-ES"/>
        </w:rPr>
        <w:t>Algunas de las ideas con las que qu</w:t>
      </w:r>
      <w:r>
        <w:rPr>
          <w:rFonts w:hint="default"/>
          <w:bCs/>
          <w:iCs/>
          <w:lang w:val="es-ES"/>
        </w:rPr>
        <w:t xml:space="preserve">eremos </w:t>
      </w:r>
      <w:r>
        <w:rPr>
          <w:bCs/>
          <w:iCs/>
          <w:lang w:val="es-ES"/>
        </w:rPr>
        <w:t xml:space="preserve">continuar la reflexión </w:t>
      </w:r>
      <w:r>
        <w:rPr>
          <w:rFonts w:hint="default"/>
          <w:bCs/>
          <w:iCs/>
          <w:lang w:val="es-ES"/>
        </w:rPr>
        <w:t>sobre los</w:t>
      </w:r>
      <w:r>
        <w:rPr>
          <w:bCs/>
          <w:iCs/>
          <w:lang w:val="es-ES"/>
        </w:rPr>
        <w:t xml:space="preserve"> caminos posibles para la construcción de una sociedad en la que el cuidado sea tema central y tarea de todos:</w:t>
      </w:r>
    </w:p>
    <w:p w14:paraId="2FF39158">
      <w:pPr>
        <w:pStyle w:val="12"/>
        <w:numPr>
          <w:ilvl w:val="0"/>
          <w:numId w:val="7"/>
        </w:numPr>
        <w:rPr>
          <w:b/>
          <w:bCs/>
          <w:iCs/>
          <w:lang w:val="es-ES"/>
        </w:rPr>
      </w:pPr>
      <w:r>
        <w:rPr>
          <w:b/>
          <w:bCs/>
          <w:iCs/>
          <w:lang w:val="es-ES"/>
        </w:rPr>
        <w:t>La relación entre la independencia y la interdependencia</w:t>
      </w:r>
    </w:p>
    <w:p w14:paraId="2F19029A">
      <w:pPr>
        <w:pStyle w:val="12"/>
        <w:spacing w:line="360" w:lineRule="auto"/>
        <w:ind w:left="765"/>
        <w:jc w:val="both"/>
        <w:rPr>
          <w:bCs/>
          <w:iCs/>
          <w:lang w:val="es-ES"/>
        </w:rPr>
      </w:pPr>
      <w:r>
        <w:rPr>
          <w:bCs/>
          <w:iCs/>
          <w:lang w:val="es-ES"/>
        </w:rPr>
        <w:t>Nuestras sociedades han sobrevalorado la</w:t>
      </w:r>
      <w:r>
        <w:rPr>
          <w:bCs/>
          <w:i/>
          <w:iCs/>
          <w:lang w:val="es-ES"/>
        </w:rPr>
        <w:t xml:space="preserve"> independencia</w:t>
      </w:r>
      <w:r>
        <w:rPr>
          <w:bCs/>
          <w:iCs/>
          <w:lang w:val="es-ES"/>
        </w:rPr>
        <w:t xml:space="preserve"> y es momento de reconocer la importancia de fortalecer las relaciones de </w:t>
      </w:r>
      <w:r>
        <w:rPr>
          <w:bCs/>
          <w:i/>
          <w:iCs/>
          <w:lang w:val="es-ES"/>
        </w:rPr>
        <w:t>interdependencia</w:t>
      </w:r>
      <w:r>
        <w:rPr>
          <w:bCs/>
          <w:iCs/>
          <w:lang w:val="es-ES"/>
        </w:rPr>
        <w:t xml:space="preserve">. Esto nos hace cuestionar la división rígida entre la persona cuidada y el o la cuidadora, y construir espacios de empatía y solidaridad en los que se reconozcan las necesidades, los intereses y satisfacciones involucradas en las experiencias de cuidado.  </w:t>
      </w:r>
    </w:p>
    <w:p w14:paraId="20A6680F">
      <w:pPr>
        <w:pStyle w:val="12"/>
        <w:spacing w:line="360" w:lineRule="auto"/>
        <w:ind w:left="765"/>
        <w:jc w:val="both"/>
        <w:rPr>
          <w:bCs/>
          <w:iCs/>
          <w:lang w:val="es-ES"/>
        </w:rPr>
      </w:pPr>
    </w:p>
    <w:p w14:paraId="576CE9F0">
      <w:pPr>
        <w:pStyle w:val="12"/>
        <w:numPr>
          <w:ilvl w:val="0"/>
          <w:numId w:val="7"/>
        </w:numPr>
        <w:spacing w:line="360" w:lineRule="auto"/>
        <w:jc w:val="both"/>
        <w:rPr>
          <w:b/>
          <w:bCs/>
          <w:iCs/>
          <w:lang w:val="es-ES"/>
        </w:rPr>
      </w:pPr>
      <w:r>
        <w:rPr>
          <w:b/>
          <w:bCs/>
          <w:iCs/>
          <w:lang w:val="es-ES"/>
        </w:rPr>
        <w:t xml:space="preserve">La dimensión ética y política del cuidado </w:t>
      </w:r>
    </w:p>
    <w:p w14:paraId="7A857A26">
      <w:pPr>
        <w:pStyle w:val="12"/>
        <w:spacing w:line="360" w:lineRule="auto"/>
        <w:ind w:left="765"/>
        <w:jc w:val="both"/>
        <w:rPr>
          <w:bCs/>
          <w:iCs/>
          <w:lang w:val="es-ES"/>
        </w:rPr>
      </w:pPr>
      <w:r>
        <w:rPr>
          <w:rFonts w:hint="default"/>
          <w:bCs/>
          <w:iCs/>
          <w:lang w:val="es-ES"/>
        </w:rPr>
        <w:t>E</w:t>
      </w:r>
      <w:r>
        <w:rPr>
          <w:bCs/>
          <w:iCs/>
          <w:lang w:val="es-ES"/>
        </w:rPr>
        <w:t xml:space="preserve">l reconocimiento del cuidado pone en duda nuestra ilusión de omnipotencia y nos recuerda nuestra propia </w:t>
      </w:r>
      <w:r>
        <w:rPr>
          <w:bCs/>
          <w:i/>
          <w:iCs/>
          <w:lang w:val="es-ES"/>
        </w:rPr>
        <w:t>fragilidad</w:t>
      </w:r>
      <w:r>
        <w:rPr>
          <w:bCs/>
          <w:iCs/>
          <w:lang w:val="es-ES"/>
        </w:rPr>
        <w:t xml:space="preserve"> </w:t>
      </w:r>
      <w:r>
        <w:rPr>
          <w:bCs/>
          <w:i/>
          <w:iCs/>
          <w:lang w:val="es-ES"/>
        </w:rPr>
        <w:t>como seres humanos</w:t>
      </w:r>
      <w:r>
        <w:rPr>
          <w:bCs/>
          <w:iCs/>
          <w:lang w:val="es-ES"/>
        </w:rPr>
        <w:t xml:space="preserve"> que somos. Reflexionar sobre est</w:t>
      </w:r>
      <w:r>
        <w:rPr>
          <w:rFonts w:hint="default"/>
          <w:bCs/>
          <w:iCs/>
          <w:lang w:val="es-ES"/>
        </w:rPr>
        <w:t xml:space="preserve">o </w:t>
      </w:r>
      <w:r>
        <w:rPr>
          <w:bCs/>
          <w:iCs/>
          <w:lang w:val="es-ES"/>
        </w:rPr>
        <w:t xml:space="preserve">nos llevaría a reforzar vínculos de solidaridad y a construir sociedades más sensibles y conscientes de la necesidad de cuidados y apoyos. </w:t>
      </w:r>
    </w:p>
    <w:p w14:paraId="5CFA2E71">
      <w:pPr>
        <w:pStyle w:val="12"/>
        <w:spacing w:line="360" w:lineRule="auto"/>
        <w:ind w:left="765"/>
        <w:jc w:val="both"/>
        <w:rPr>
          <w:bCs/>
          <w:iCs/>
          <w:lang w:val="es-ES"/>
        </w:rPr>
      </w:pPr>
    </w:p>
    <w:p w14:paraId="71D41AB2">
      <w:pPr>
        <w:pStyle w:val="12"/>
        <w:numPr>
          <w:ilvl w:val="0"/>
          <w:numId w:val="7"/>
        </w:numPr>
        <w:spacing w:line="360" w:lineRule="auto"/>
        <w:jc w:val="both"/>
        <w:rPr>
          <w:b/>
          <w:bCs/>
          <w:iCs/>
          <w:lang w:val="es-ES"/>
        </w:rPr>
      </w:pPr>
      <w:r>
        <w:rPr>
          <w:b/>
          <w:bCs/>
          <w:iCs/>
          <w:lang w:val="es-ES"/>
        </w:rPr>
        <w:t>El autocuidado como responsabilidad social</w:t>
      </w:r>
    </w:p>
    <w:p w14:paraId="77B0D770">
      <w:pPr>
        <w:pStyle w:val="12"/>
        <w:spacing w:line="360" w:lineRule="auto"/>
        <w:ind w:left="765"/>
        <w:jc w:val="both"/>
        <w:rPr>
          <w:bCs/>
          <w:iCs/>
          <w:lang w:val="es-ES"/>
        </w:rPr>
      </w:pPr>
      <w:r>
        <w:rPr>
          <w:bCs/>
          <w:iCs/>
          <w:lang w:val="es-ES"/>
        </w:rPr>
        <w:t xml:space="preserve">La experiencia nos dice que el tema del </w:t>
      </w:r>
      <w:r>
        <w:rPr>
          <w:bCs/>
          <w:i/>
          <w:iCs/>
          <w:lang w:val="es-ES"/>
        </w:rPr>
        <w:t>cuidado</w:t>
      </w:r>
      <w:r>
        <w:rPr>
          <w:bCs/>
          <w:iCs/>
          <w:lang w:val="es-ES"/>
        </w:rPr>
        <w:t xml:space="preserve"> debe incluir la práctica del </w:t>
      </w:r>
      <w:r>
        <w:rPr>
          <w:bCs/>
          <w:i/>
          <w:iCs/>
          <w:lang w:val="es-ES"/>
        </w:rPr>
        <w:t xml:space="preserve">autocuidado </w:t>
      </w:r>
      <w:r>
        <w:rPr>
          <w:bCs/>
          <w:iCs/>
          <w:lang w:val="es-ES"/>
        </w:rPr>
        <w:t>tanto de la persona con discapacidad como de los cuidadores y cuidadoras</w:t>
      </w:r>
      <w:r>
        <w:rPr>
          <w:rFonts w:hint="default"/>
          <w:bCs/>
          <w:iCs/>
          <w:lang w:val="es-ES"/>
        </w:rPr>
        <w:t xml:space="preserve">, </w:t>
      </w:r>
      <w:r>
        <w:rPr>
          <w:bCs/>
          <w:iCs/>
          <w:lang w:val="es-ES"/>
        </w:rPr>
        <w:t>asumir la responsabilidad que tenemos con nosotros mismos y por lo tanto con los demás.</w:t>
      </w:r>
    </w:p>
    <w:p w14:paraId="54897832">
      <w:pPr>
        <w:pStyle w:val="12"/>
        <w:rPr>
          <w:bCs/>
          <w:iCs/>
          <w:lang w:val="es-ES"/>
        </w:rPr>
      </w:pPr>
    </w:p>
    <w:p w14:paraId="6B5EF723">
      <w:pPr>
        <w:pStyle w:val="12"/>
        <w:numPr>
          <w:ilvl w:val="0"/>
          <w:numId w:val="7"/>
        </w:numPr>
        <w:spacing w:line="360" w:lineRule="auto"/>
        <w:jc w:val="both"/>
        <w:rPr>
          <w:b/>
          <w:bCs/>
          <w:iCs/>
          <w:lang w:val="es-ES"/>
        </w:rPr>
      </w:pPr>
      <w:r>
        <w:rPr>
          <w:b/>
          <w:bCs/>
          <w:iCs/>
          <w:lang w:val="es-ES"/>
        </w:rPr>
        <w:t>La dimensión holística del cuidado</w:t>
      </w:r>
    </w:p>
    <w:p w14:paraId="7D0C8D9A">
      <w:pPr>
        <w:pStyle w:val="12"/>
        <w:spacing w:line="360" w:lineRule="auto"/>
        <w:ind w:left="765"/>
        <w:jc w:val="both"/>
        <w:rPr>
          <w:bCs/>
          <w:iCs/>
          <w:lang w:val="es-ES"/>
        </w:rPr>
      </w:pPr>
      <w:r>
        <w:rPr>
          <w:bCs/>
          <w:iCs/>
          <w:lang w:val="es-ES"/>
        </w:rPr>
        <w:t xml:space="preserve">Nuestro contexto de reflexión es la discapacidad, no obstante, hemos aprendido que es importante dejar de antropologizar la experiencia del cuidado. Esto quiere decir que el cuidado no debe quedar centrado sólo en lo humano, sino incluir </w:t>
      </w:r>
      <w:r>
        <w:rPr>
          <w:bCs/>
          <w:i/>
          <w:iCs/>
          <w:lang w:val="es-ES"/>
        </w:rPr>
        <w:t>el cuidado del medio ambiente y las otras especies animales.</w:t>
      </w:r>
      <w:r>
        <w:rPr>
          <w:bCs/>
          <w:iCs/>
          <w:lang w:val="es-ES"/>
        </w:rPr>
        <w:t xml:space="preserve">  </w:t>
      </w:r>
    </w:p>
    <w:p w14:paraId="38F29F02">
      <w:pPr>
        <w:pStyle w:val="12"/>
        <w:rPr>
          <w:bCs/>
          <w:iCs/>
          <w:lang w:val="es-ES"/>
        </w:rPr>
      </w:pPr>
    </w:p>
    <w:p w14:paraId="14751D8F">
      <w:pPr>
        <w:pStyle w:val="12"/>
        <w:numPr>
          <w:ilvl w:val="0"/>
          <w:numId w:val="7"/>
        </w:numPr>
        <w:spacing w:line="360" w:lineRule="auto"/>
        <w:jc w:val="both"/>
        <w:rPr>
          <w:b/>
          <w:bCs/>
          <w:iCs/>
          <w:lang w:val="es-ES"/>
        </w:rPr>
      </w:pPr>
      <w:r>
        <w:rPr>
          <w:b/>
          <w:bCs/>
          <w:iCs/>
          <w:lang w:val="es-ES"/>
        </w:rPr>
        <w:t>La cultura del buen trato como detonador de la justicia social</w:t>
      </w:r>
    </w:p>
    <w:p w14:paraId="5D8E85C9">
      <w:pPr>
        <w:pStyle w:val="12"/>
        <w:spacing w:line="360" w:lineRule="auto"/>
        <w:ind w:left="765"/>
        <w:jc w:val="both"/>
        <w:rPr>
          <w:bCs/>
          <w:iCs/>
          <w:lang w:val="es-ES"/>
        </w:rPr>
      </w:pPr>
      <w:r>
        <w:rPr>
          <w:rFonts w:hint="default"/>
          <w:bCs/>
          <w:iCs/>
          <w:lang w:val="es-ES"/>
        </w:rPr>
        <w:t>El</w:t>
      </w:r>
      <w:r>
        <w:rPr>
          <w:bCs/>
          <w:iCs/>
          <w:lang w:val="es-ES"/>
        </w:rPr>
        <w:t xml:space="preserve"> cuidado </w:t>
      </w:r>
      <w:r>
        <w:rPr>
          <w:rFonts w:hint="default"/>
          <w:bCs/>
          <w:iCs/>
          <w:lang w:val="es-ES"/>
        </w:rPr>
        <w:t xml:space="preserve">debe </w:t>
      </w:r>
      <w:r>
        <w:rPr>
          <w:bCs/>
          <w:iCs/>
          <w:lang w:val="es-ES"/>
        </w:rPr>
        <w:t xml:space="preserve">promover y cultivar una </w:t>
      </w:r>
      <w:r>
        <w:rPr>
          <w:bCs/>
          <w:i/>
          <w:iCs/>
          <w:lang w:val="es-ES"/>
        </w:rPr>
        <w:t>cultura del buen trato</w:t>
      </w:r>
      <w:r>
        <w:rPr>
          <w:bCs/>
          <w:iCs/>
          <w:lang w:val="es-ES"/>
        </w:rPr>
        <w:t xml:space="preserve"> y detonar procesos de construcción de justicia social para todas y todos. Ello nos lleva a imaginar y proyectar una reorganización social o una distribución distinta del cuidado que nos acerque al plano de la responsabilidad y la ética dentro de contextos cada vez más justos e igualitarios.  </w:t>
      </w:r>
    </w:p>
    <w:bookmarkEnd w:id="0"/>
    <w:sectPr>
      <w:footerReference r:id="rId5"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SimHei">
    <w:altName w:val="汉仪中黑KW"/>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9" w:usb3="00000000" w:csb0="200001FF" w:csb1="00000000"/>
  </w:font>
  <w:font w:name="Calibri">
    <w:altName w:val="Helvetica Neue"/>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Times">
    <w:panose1 w:val="00000500000000020000"/>
    <w:charset w:val="00"/>
    <w:family w:val="roman"/>
    <w:pitch w:val="default"/>
    <w:sig w:usb0="E00002FF" w:usb1="5000205A" w:usb2="00000000" w:usb3="00000000" w:csb0="2000019F" w:csb1="4F01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Hiragino Sans GB">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905502E">
        <w:pPr>
          <w:pStyle w:val="11"/>
          <w:jc w:val="right"/>
        </w:pPr>
        <w:r>
          <w:fldChar w:fldCharType="begin"/>
        </w:r>
        <w:r>
          <w:instrText xml:space="preserve">PAGE   \* MERGEFORMAT</w:instrText>
        </w:r>
        <w:r>
          <w:fldChar w:fldCharType="separate"/>
        </w:r>
        <w:r>
          <w:rPr>
            <w:lang w:val="es-ES"/>
          </w:rPr>
          <w:t>1</w:t>
        </w:r>
        <w:r>
          <w:fldChar w:fldCharType="end"/>
        </w:r>
      </w:p>
    </w:sdtContent>
  </w:sdt>
  <w:p w14:paraId="6911EA09">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43F82"/>
    <w:multiLevelType w:val="multilevel"/>
    <w:tmpl w:val="05D43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522B12"/>
    <w:multiLevelType w:val="multilevel"/>
    <w:tmpl w:val="15522B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4B23C5"/>
    <w:multiLevelType w:val="multilevel"/>
    <w:tmpl w:val="184B2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B20B22"/>
    <w:multiLevelType w:val="multilevel"/>
    <w:tmpl w:val="75B20B22"/>
    <w:lvl w:ilvl="0" w:tentative="0">
      <w:start w:val="1"/>
      <w:numFmt w:val="lowerLetter"/>
      <w:lvlText w:val="%1)"/>
      <w:lvlJc w:val="left"/>
      <w:pPr>
        <w:ind w:left="765" w:hanging="360"/>
      </w:pPr>
      <w:rPr>
        <w:rFonts w:hint="default"/>
      </w:rPr>
    </w:lvl>
    <w:lvl w:ilvl="1" w:tentative="0">
      <w:start w:val="1"/>
      <w:numFmt w:val="lowerLetter"/>
      <w:lvlText w:val="%2."/>
      <w:lvlJc w:val="left"/>
      <w:pPr>
        <w:ind w:left="1485" w:hanging="360"/>
      </w:pPr>
    </w:lvl>
    <w:lvl w:ilvl="2" w:tentative="0">
      <w:start w:val="1"/>
      <w:numFmt w:val="lowerRoman"/>
      <w:lvlText w:val="%3."/>
      <w:lvlJc w:val="right"/>
      <w:pPr>
        <w:ind w:left="2205" w:hanging="180"/>
      </w:pPr>
    </w:lvl>
    <w:lvl w:ilvl="3" w:tentative="0">
      <w:start w:val="1"/>
      <w:numFmt w:val="decimal"/>
      <w:lvlText w:val="%4."/>
      <w:lvlJc w:val="left"/>
      <w:pPr>
        <w:ind w:left="2925" w:hanging="360"/>
      </w:pPr>
    </w:lvl>
    <w:lvl w:ilvl="4" w:tentative="0">
      <w:start w:val="1"/>
      <w:numFmt w:val="lowerLetter"/>
      <w:lvlText w:val="%5."/>
      <w:lvlJc w:val="left"/>
      <w:pPr>
        <w:ind w:left="3645" w:hanging="360"/>
      </w:pPr>
    </w:lvl>
    <w:lvl w:ilvl="5" w:tentative="0">
      <w:start w:val="1"/>
      <w:numFmt w:val="lowerRoman"/>
      <w:lvlText w:val="%6."/>
      <w:lvlJc w:val="right"/>
      <w:pPr>
        <w:ind w:left="4365" w:hanging="180"/>
      </w:pPr>
    </w:lvl>
    <w:lvl w:ilvl="6" w:tentative="0">
      <w:start w:val="1"/>
      <w:numFmt w:val="decimal"/>
      <w:lvlText w:val="%7."/>
      <w:lvlJc w:val="left"/>
      <w:pPr>
        <w:ind w:left="5085" w:hanging="360"/>
      </w:pPr>
    </w:lvl>
    <w:lvl w:ilvl="7" w:tentative="0">
      <w:start w:val="1"/>
      <w:numFmt w:val="lowerLetter"/>
      <w:lvlText w:val="%8."/>
      <w:lvlJc w:val="left"/>
      <w:pPr>
        <w:ind w:left="5805" w:hanging="360"/>
      </w:pPr>
    </w:lvl>
    <w:lvl w:ilvl="8" w:tentative="0">
      <w:start w:val="1"/>
      <w:numFmt w:val="lowerRoman"/>
      <w:lvlText w:val="%9."/>
      <w:lvlJc w:val="right"/>
      <w:pPr>
        <w:ind w:left="6525" w:hanging="180"/>
      </w:pPr>
    </w:lvl>
  </w:abstractNum>
  <w:abstractNum w:abstractNumId="4">
    <w:nsid w:val="765C7722"/>
    <w:multiLevelType w:val="multilevel"/>
    <w:tmpl w:val="765C7722"/>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77A652A"/>
    <w:multiLevelType w:val="multilevel"/>
    <w:tmpl w:val="777A652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7D7D6594"/>
    <w:multiLevelType w:val="multilevel"/>
    <w:tmpl w:val="7D7D6594"/>
    <w:lvl w:ilvl="0" w:tentative="0">
      <w:start w:val="1"/>
      <w:numFmt w:val="bullet"/>
      <w:lvlText w:val="•"/>
      <w:lvlJc w:val="left"/>
      <w:pPr>
        <w:tabs>
          <w:tab w:val="left" w:pos="720"/>
        </w:tabs>
        <w:ind w:left="720" w:hanging="360"/>
      </w:pPr>
      <w:rPr>
        <w:rFonts w:hint="default" w:ascii="Times" w:hAnsi="Times"/>
      </w:rPr>
    </w:lvl>
    <w:lvl w:ilvl="1" w:tentative="0">
      <w:start w:val="1"/>
      <w:numFmt w:val="bullet"/>
      <w:lvlText w:val="•"/>
      <w:lvlJc w:val="left"/>
      <w:pPr>
        <w:tabs>
          <w:tab w:val="left" w:pos="1440"/>
        </w:tabs>
        <w:ind w:left="1440" w:hanging="360"/>
      </w:pPr>
      <w:rPr>
        <w:rFonts w:hint="default" w:ascii="Times" w:hAnsi="Times"/>
      </w:rPr>
    </w:lvl>
    <w:lvl w:ilvl="2" w:tentative="0">
      <w:start w:val="1"/>
      <w:numFmt w:val="bullet"/>
      <w:lvlText w:val="•"/>
      <w:lvlJc w:val="left"/>
      <w:pPr>
        <w:tabs>
          <w:tab w:val="left" w:pos="2160"/>
        </w:tabs>
        <w:ind w:left="2160" w:hanging="360"/>
      </w:pPr>
      <w:rPr>
        <w:rFonts w:hint="default" w:ascii="Times" w:hAnsi="Times"/>
      </w:rPr>
    </w:lvl>
    <w:lvl w:ilvl="3" w:tentative="0">
      <w:start w:val="1"/>
      <w:numFmt w:val="bullet"/>
      <w:lvlText w:val="•"/>
      <w:lvlJc w:val="left"/>
      <w:pPr>
        <w:tabs>
          <w:tab w:val="left" w:pos="2880"/>
        </w:tabs>
        <w:ind w:left="2880" w:hanging="360"/>
      </w:pPr>
      <w:rPr>
        <w:rFonts w:hint="default" w:ascii="Times" w:hAnsi="Times"/>
      </w:rPr>
    </w:lvl>
    <w:lvl w:ilvl="4" w:tentative="0">
      <w:start w:val="1"/>
      <w:numFmt w:val="bullet"/>
      <w:lvlText w:val="•"/>
      <w:lvlJc w:val="left"/>
      <w:pPr>
        <w:tabs>
          <w:tab w:val="left" w:pos="3600"/>
        </w:tabs>
        <w:ind w:left="3600" w:hanging="360"/>
      </w:pPr>
      <w:rPr>
        <w:rFonts w:hint="default" w:ascii="Times" w:hAnsi="Times"/>
      </w:rPr>
    </w:lvl>
    <w:lvl w:ilvl="5" w:tentative="0">
      <w:start w:val="1"/>
      <w:numFmt w:val="bullet"/>
      <w:lvlText w:val="•"/>
      <w:lvlJc w:val="left"/>
      <w:pPr>
        <w:tabs>
          <w:tab w:val="left" w:pos="4320"/>
        </w:tabs>
        <w:ind w:left="4320" w:hanging="360"/>
      </w:pPr>
      <w:rPr>
        <w:rFonts w:hint="default" w:ascii="Times" w:hAnsi="Times"/>
      </w:rPr>
    </w:lvl>
    <w:lvl w:ilvl="6" w:tentative="0">
      <w:start w:val="1"/>
      <w:numFmt w:val="bullet"/>
      <w:lvlText w:val="•"/>
      <w:lvlJc w:val="left"/>
      <w:pPr>
        <w:tabs>
          <w:tab w:val="left" w:pos="5040"/>
        </w:tabs>
        <w:ind w:left="5040" w:hanging="360"/>
      </w:pPr>
      <w:rPr>
        <w:rFonts w:hint="default" w:ascii="Times" w:hAnsi="Times"/>
      </w:rPr>
    </w:lvl>
    <w:lvl w:ilvl="7" w:tentative="0">
      <w:start w:val="1"/>
      <w:numFmt w:val="bullet"/>
      <w:lvlText w:val="•"/>
      <w:lvlJc w:val="left"/>
      <w:pPr>
        <w:tabs>
          <w:tab w:val="left" w:pos="5760"/>
        </w:tabs>
        <w:ind w:left="5760" w:hanging="360"/>
      </w:pPr>
      <w:rPr>
        <w:rFonts w:hint="default" w:ascii="Times" w:hAnsi="Times"/>
      </w:rPr>
    </w:lvl>
    <w:lvl w:ilvl="8" w:tentative="0">
      <w:start w:val="1"/>
      <w:numFmt w:val="bullet"/>
      <w:lvlText w:val="•"/>
      <w:lvlJc w:val="left"/>
      <w:pPr>
        <w:tabs>
          <w:tab w:val="left" w:pos="6480"/>
        </w:tabs>
        <w:ind w:left="6480" w:hanging="360"/>
      </w:pPr>
      <w:rPr>
        <w:rFonts w:hint="default" w:ascii="Times" w:hAnsi="Times"/>
      </w:rPr>
    </w:lvl>
  </w:abstractNum>
  <w:num w:numId="1">
    <w:abstractNumId w:val="4"/>
  </w:num>
  <w:num w:numId="2">
    <w:abstractNumId w:val="1"/>
  </w:num>
  <w:num w:numId="3">
    <w:abstractNumId w:val="6"/>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Formatting/>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22"/>
    <w:rsid w:val="00007943"/>
    <w:rsid w:val="00012456"/>
    <w:rsid w:val="0001297D"/>
    <w:rsid w:val="0001338B"/>
    <w:rsid w:val="00015636"/>
    <w:rsid w:val="00020B2E"/>
    <w:rsid w:val="00021801"/>
    <w:rsid w:val="0002242B"/>
    <w:rsid w:val="0003237C"/>
    <w:rsid w:val="00032503"/>
    <w:rsid w:val="00033A7E"/>
    <w:rsid w:val="00034817"/>
    <w:rsid w:val="0003591D"/>
    <w:rsid w:val="00036D3B"/>
    <w:rsid w:val="00045F1C"/>
    <w:rsid w:val="000542C4"/>
    <w:rsid w:val="00062D5B"/>
    <w:rsid w:val="000730E4"/>
    <w:rsid w:val="000925D0"/>
    <w:rsid w:val="00097C1D"/>
    <w:rsid w:val="000C0F45"/>
    <w:rsid w:val="000D30F1"/>
    <w:rsid w:val="000D7D89"/>
    <w:rsid w:val="000E39FD"/>
    <w:rsid w:val="000E406E"/>
    <w:rsid w:val="000E440F"/>
    <w:rsid w:val="000F29FC"/>
    <w:rsid w:val="000F2BD2"/>
    <w:rsid w:val="000F3FFC"/>
    <w:rsid w:val="000F4351"/>
    <w:rsid w:val="000F62BA"/>
    <w:rsid w:val="0010201F"/>
    <w:rsid w:val="00103503"/>
    <w:rsid w:val="0011356D"/>
    <w:rsid w:val="001135E4"/>
    <w:rsid w:val="0011416F"/>
    <w:rsid w:val="00114594"/>
    <w:rsid w:val="00115D97"/>
    <w:rsid w:val="00140D85"/>
    <w:rsid w:val="00142EDA"/>
    <w:rsid w:val="001467BA"/>
    <w:rsid w:val="00161DC8"/>
    <w:rsid w:val="001635BF"/>
    <w:rsid w:val="001655AE"/>
    <w:rsid w:val="0016751B"/>
    <w:rsid w:val="0017278C"/>
    <w:rsid w:val="00173B2A"/>
    <w:rsid w:val="00175DC2"/>
    <w:rsid w:val="001921D1"/>
    <w:rsid w:val="001965CD"/>
    <w:rsid w:val="001A07FA"/>
    <w:rsid w:val="001A1F3B"/>
    <w:rsid w:val="001A4433"/>
    <w:rsid w:val="001B1C17"/>
    <w:rsid w:val="001B38C5"/>
    <w:rsid w:val="001B7821"/>
    <w:rsid w:val="001B7A15"/>
    <w:rsid w:val="001C2351"/>
    <w:rsid w:val="001C2D0D"/>
    <w:rsid w:val="001C472F"/>
    <w:rsid w:val="001C734F"/>
    <w:rsid w:val="001D562C"/>
    <w:rsid w:val="001E0753"/>
    <w:rsid w:val="001E2902"/>
    <w:rsid w:val="001E2A2F"/>
    <w:rsid w:val="001F38B6"/>
    <w:rsid w:val="001F52ED"/>
    <w:rsid w:val="002342B2"/>
    <w:rsid w:val="00247796"/>
    <w:rsid w:val="00252685"/>
    <w:rsid w:val="0026275E"/>
    <w:rsid w:val="0026512C"/>
    <w:rsid w:val="0027504B"/>
    <w:rsid w:val="00277513"/>
    <w:rsid w:val="00283393"/>
    <w:rsid w:val="00292275"/>
    <w:rsid w:val="002B133B"/>
    <w:rsid w:val="002B206A"/>
    <w:rsid w:val="002B55CE"/>
    <w:rsid w:val="002B727B"/>
    <w:rsid w:val="002D2409"/>
    <w:rsid w:val="002D4E47"/>
    <w:rsid w:val="002E5D6A"/>
    <w:rsid w:val="002E696F"/>
    <w:rsid w:val="002F21EE"/>
    <w:rsid w:val="00300CD0"/>
    <w:rsid w:val="00301771"/>
    <w:rsid w:val="00311BC5"/>
    <w:rsid w:val="00321630"/>
    <w:rsid w:val="00323658"/>
    <w:rsid w:val="003250E1"/>
    <w:rsid w:val="00340819"/>
    <w:rsid w:val="00341857"/>
    <w:rsid w:val="00345776"/>
    <w:rsid w:val="00346ACD"/>
    <w:rsid w:val="003510C3"/>
    <w:rsid w:val="0035223E"/>
    <w:rsid w:val="003638E3"/>
    <w:rsid w:val="00364CA8"/>
    <w:rsid w:val="003672C9"/>
    <w:rsid w:val="00377153"/>
    <w:rsid w:val="00381B23"/>
    <w:rsid w:val="003A38AA"/>
    <w:rsid w:val="003A3EA7"/>
    <w:rsid w:val="003A7F88"/>
    <w:rsid w:val="003A7F90"/>
    <w:rsid w:val="003B0001"/>
    <w:rsid w:val="003B2D49"/>
    <w:rsid w:val="003B3048"/>
    <w:rsid w:val="003B51E8"/>
    <w:rsid w:val="003B5BBA"/>
    <w:rsid w:val="003B69EC"/>
    <w:rsid w:val="003C3740"/>
    <w:rsid w:val="003C4861"/>
    <w:rsid w:val="003E2FB5"/>
    <w:rsid w:val="00421D89"/>
    <w:rsid w:val="00425C4A"/>
    <w:rsid w:val="004314D6"/>
    <w:rsid w:val="00435B4E"/>
    <w:rsid w:val="0043694F"/>
    <w:rsid w:val="00440502"/>
    <w:rsid w:val="00441C6D"/>
    <w:rsid w:val="0044337A"/>
    <w:rsid w:val="004450E3"/>
    <w:rsid w:val="00453A60"/>
    <w:rsid w:val="0046281E"/>
    <w:rsid w:val="00473630"/>
    <w:rsid w:val="004819E0"/>
    <w:rsid w:val="00484FF5"/>
    <w:rsid w:val="00491BD3"/>
    <w:rsid w:val="00493115"/>
    <w:rsid w:val="004966EE"/>
    <w:rsid w:val="004A2B18"/>
    <w:rsid w:val="004A38BD"/>
    <w:rsid w:val="004A7251"/>
    <w:rsid w:val="004A7966"/>
    <w:rsid w:val="004B06B6"/>
    <w:rsid w:val="004B2E7C"/>
    <w:rsid w:val="004C6568"/>
    <w:rsid w:val="004C6AF4"/>
    <w:rsid w:val="004C6C0A"/>
    <w:rsid w:val="004D155C"/>
    <w:rsid w:val="004E23A3"/>
    <w:rsid w:val="004E3D09"/>
    <w:rsid w:val="004F4766"/>
    <w:rsid w:val="0050107A"/>
    <w:rsid w:val="005028F2"/>
    <w:rsid w:val="0051614E"/>
    <w:rsid w:val="00536405"/>
    <w:rsid w:val="00547F2D"/>
    <w:rsid w:val="0055273A"/>
    <w:rsid w:val="005560CD"/>
    <w:rsid w:val="00557B2B"/>
    <w:rsid w:val="00563359"/>
    <w:rsid w:val="00565F37"/>
    <w:rsid w:val="00566E62"/>
    <w:rsid w:val="00572477"/>
    <w:rsid w:val="005748E9"/>
    <w:rsid w:val="00577813"/>
    <w:rsid w:val="0059307C"/>
    <w:rsid w:val="005B00D7"/>
    <w:rsid w:val="005B3096"/>
    <w:rsid w:val="005B4E69"/>
    <w:rsid w:val="005D63DA"/>
    <w:rsid w:val="005F0E97"/>
    <w:rsid w:val="005F651F"/>
    <w:rsid w:val="006160C3"/>
    <w:rsid w:val="0062024F"/>
    <w:rsid w:val="00625ADC"/>
    <w:rsid w:val="006264EC"/>
    <w:rsid w:val="00627E3C"/>
    <w:rsid w:val="00631A37"/>
    <w:rsid w:val="006338C1"/>
    <w:rsid w:val="0063425A"/>
    <w:rsid w:val="00655779"/>
    <w:rsid w:val="006577A2"/>
    <w:rsid w:val="0066065D"/>
    <w:rsid w:val="00661F51"/>
    <w:rsid w:val="00665A59"/>
    <w:rsid w:val="006705C2"/>
    <w:rsid w:val="00673B22"/>
    <w:rsid w:val="006743C1"/>
    <w:rsid w:val="00676559"/>
    <w:rsid w:val="00686431"/>
    <w:rsid w:val="00686A6D"/>
    <w:rsid w:val="006870C2"/>
    <w:rsid w:val="006935B6"/>
    <w:rsid w:val="00694ED6"/>
    <w:rsid w:val="006A037A"/>
    <w:rsid w:val="006A6F68"/>
    <w:rsid w:val="006A7661"/>
    <w:rsid w:val="006A7E6F"/>
    <w:rsid w:val="006D3C1E"/>
    <w:rsid w:val="006E1D0F"/>
    <w:rsid w:val="006F23CB"/>
    <w:rsid w:val="006F610F"/>
    <w:rsid w:val="00700B57"/>
    <w:rsid w:val="0070113B"/>
    <w:rsid w:val="0070146B"/>
    <w:rsid w:val="007018D9"/>
    <w:rsid w:val="00703766"/>
    <w:rsid w:val="007115F0"/>
    <w:rsid w:val="007148CC"/>
    <w:rsid w:val="00714907"/>
    <w:rsid w:val="007229B9"/>
    <w:rsid w:val="00736D06"/>
    <w:rsid w:val="00742976"/>
    <w:rsid w:val="007464AB"/>
    <w:rsid w:val="0074653F"/>
    <w:rsid w:val="0074795E"/>
    <w:rsid w:val="0075224D"/>
    <w:rsid w:val="00754AF6"/>
    <w:rsid w:val="00766093"/>
    <w:rsid w:val="0078118F"/>
    <w:rsid w:val="007868D7"/>
    <w:rsid w:val="00786B45"/>
    <w:rsid w:val="00791543"/>
    <w:rsid w:val="00792633"/>
    <w:rsid w:val="007928DF"/>
    <w:rsid w:val="00794CC7"/>
    <w:rsid w:val="00797D65"/>
    <w:rsid w:val="007A557D"/>
    <w:rsid w:val="007A6C67"/>
    <w:rsid w:val="007D243D"/>
    <w:rsid w:val="007E44B9"/>
    <w:rsid w:val="007E7CD2"/>
    <w:rsid w:val="007E7DDC"/>
    <w:rsid w:val="007F6EA0"/>
    <w:rsid w:val="008035CE"/>
    <w:rsid w:val="008055D4"/>
    <w:rsid w:val="00813651"/>
    <w:rsid w:val="0081374D"/>
    <w:rsid w:val="008208FF"/>
    <w:rsid w:val="008222DC"/>
    <w:rsid w:val="00826489"/>
    <w:rsid w:val="008332F2"/>
    <w:rsid w:val="00840AF3"/>
    <w:rsid w:val="008411AE"/>
    <w:rsid w:val="0084257D"/>
    <w:rsid w:val="00846447"/>
    <w:rsid w:val="00846A11"/>
    <w:rsid w:val="00850E1F"/>
    <w:rsid w:val="00851D33"/>
    <w:rsid w:val="00856A8D"/>
    <w:rsid w:val="0085708A"/>
    <w:rsid w:val="00866405"/>
    <w:rsid w:val="00880780"/>
    <w:rsid w:val="00882272"/>
    <w:rsid w:val="00886692"/>
    <w:rsid w:val="00890AE4"/>
    <w:rsid w:val="008962E8"/>
    <w:rsid w:val="008A18F5"/>
    <w:rsid w:val="008A549D"/>
    <w:rsid w:val="008B3168"/>
    <w:rsid w:val="008B34DB"/>
    <w:rsid w:val="008B4C81"/>
    <w:rsid w:val="008B5391"/>
    <w:rsid w:val="008B7527"/>
    <w:rsid w:val="008C4B7F"/>
    <w:rsid w:val="008C73EE"/>
    <w:rsid w:val="008C78E5"/>
    <w:rsid w:val="008D0A0D"/>
    <w:rsid w:val="008D426F"/>
    <w:rsid w:val="008D587B"/>
    <w:rsid w:val="008D59B2"/>
    <w:rsid w:val="008D642B"/>
    <w:rsid w:val="00902117"/>
    <w:rsid w:val="009107DE"/>
    <w:rsid w:val="0091447B"/>
    <w:rsid w:val="00916FE0"/>
    <w:rsid w:val="00921742"/>
    <w:rsid w:val="00921EEC"/>
    <w:rsid w:val="0092476C"/>
    <w:rsid w:val="00927E9D"/>
    <w:rsid w:val="00932533"/>
    <w:rsid w:val="00936C5D"/>
    <w:rsid w:val="00954406"/>
    <w:rsid w:val="0095602D"/>
    <w:rsid w:val="00957235"/>
    <w:rsid w:val="00957541"/>
    <w:rsid w:val="00957552"/>
    <w:rsid w:val="0096481B"/>
    <w:rsid w:val="0096708F"/>
    <w:rsid w:val="009754A9"/>
    <w:rsid w:val="00975E85"/>
    <w:rsid w:val="00981BFF"/>
    <w:rsid w:val="0098401E"/>
    <w:rsid w:val="00986A19"/>
    <w:rsid w:val="009912FC"/>
    <w:rsid w:val="009A1296"/>
    <w:rsid w:val="009C1E9D"/>
    <w:rsid w:val="009C2765"/>
    <w:rsid w:val="009C2DC4"/>
    <w:rsid w:val="009E1DC5"/>
    <w:rsid w:val="009F22FB"/>
    <w:rsid w:val="00A00228"/>
    <w:rsid w:val="00A03BFD"/>
    <w:rsid w:val="00A073AE"/>
    <w:rsid w:val="00A16261"/>
    <w:rsid w:val="00A168A8"/>
    <w:rsid w:val="00A169B7"/>
    <w:rsid w:val="00A2116E"/>
    <w:rsid w:val="00A34CDB"/>
    <w:rsid w:val="00A534B9"/>
    <w:rsid w:val="00A56B11"/>
    <w:rsid w:val="00A61EF0"/>
    <w:rsid w:val="00A62545"/>
    <w:rsid w:val="00A65A71"/>
    <w:rsid w:val="00A702C6"/>
    <w:rsid w:val="00A725E6"/>
    <w:rsid w:val="00A75BBE"/>
    <w:rsid w:val="00A8296B"/>
    <w:rsid w:val="00A842AE"/>
    <w:rsid w:val="00A85BC0"/>
    <w:rsid w:val="00A86922"/>
    <w:rsid w:val="00A874D0"/>
    <w:rsid w:val="00A91DC7"/>
    <w:rsid w:val="00A97A9C"/>
    <w:rsid w:val="00AA2CDC"/>
    <w:rsid w:val="00AA4654"/>
    <w:rsid w:val="00AA7AD5"/>
    <w:rsid w:val="00AB0069"/>
    <w:rsid w:val="00AC0ACF"/>
    <w:rsid w:val="00AD2955"/>
    <w:rsid w:val="00AF25EC"/>
    <w:rsid w:val="00B0643C"/>
    <w:rsid w:val="00B14EF7"/>
    <w:rsid w:val="00B24419"/>
    <w:rsid w:val="00B34554"/>
    <w:rsid w:val="00B37F54"/>
    <w:rsid w:val="00B427A0"/>
    <w:rsid w:val="00B43922"/>
    <w:rsid w:val="00B44F0D"/>
    <w:rsid w:val="00B45ED0"/>
    <w:rsid w:val="00B515D6"/>
    <w:rsid w:val="00B539B7"/>
    <w:rsid w:val="00B54EC3"/>
    <w:rsid w:val="00B62337"/>
    <w:rsid w:val="00B62361"/>
    <w:rsid w:val="00B74A51"/>
    <w:rsid w:val="00B80B6C"/>
    <w:rsid w:val="00B85400"/>
    <w:rsid w:val="00B87980"/>
    <w:rsid w:val="00B90051"/>
    <w:rsid w:val="00B908C5"/>
    <w:rsid w:val="00B92ADF"/>
    <w:rsid w:val="00B92C49"/>
    <w:rsid w:val="00B93335"/>
    <w:rsid w:val="00B96101"/>
    <w:rsid w:val="00BA256A"/>
    <w:rsid w:val="00BB68E8"/>
    <w:rsid w:val="00BC29EA"/>
    <w:rsid w:val="00BD55B7"/>
    <w:rsid w:val="00BE0E59"/>
    <w:rsid w:val="00BE72B0"/>
    <w:rsid w:val="00BF20AE"/>
    <w:rsid w:val="00BF3097"/>
    <w:rsid w:val="00BF5E7C"/>
    <w:rsid w:val="00BF777F"/>
    <w:rsid w:val="00C016DD"/>
    <w:rsid w:val="00C16E88"/>
    <w:rsid w:val="00C235BB"/>
    <w:rsid w:val="00C24DAF"/>
    <w:rsid w:val="00C25337"/>
    <w:rsid w:val="00C27376"/>
    <w:rsid w:val="00C42FEC"/>
    <w:rsid w:val="00C431A5"/>
    <w:rsid w:val="00C45734"/>
    <w:rsid w:val="00C704DB"/>
    <w:rsid w:val="00C80815"/>
    <w:rsid w:val="00C817C9"/>
    <w:rsid w:val="00C8398B"/>
    <w:rsid w:val="00C930EB"/>
    <w:rsid w:val="00C9431A"/>
    <w:rsid w:val="00C94C1B"/>
    <w:rsid w:val="00C977E8"/>
    <w:rsid w:val="00CA09FA"/>
    <w:rsid w:val="00CA375E"/>
    <w:rsid w:val="00CA5BF9"/>
    <w:rsid w:val="00CA6A34"/>
    <w:rsid w:val="00CA7F1C"/>
    <w:rsid w:val="00CB33FE"/>
    <w:rsid w:val="00CB3D56"/>
    <w:rsid w:val="00CB71BF"/>
    <w:rsid w:val="00CD1D30"/>
    <w:rsid w:val="00CD24FD"/>
    <w:rsid w:val="00CD5EF1"/>
    <w:rsid w:val="00CD6446"/>
    <w:rsid w:val="00CE0C14"/>
    <w:rsid w:val="00CE61DA"/>
    <w:rsid w:val="00D2386B"/>
    <w:rsid w:val="00D31057"/>
    <w:rsid w:val="00D322F4"/>
    <w:rsid w:val="00D3611B"/>
    <w:rsid w:val="00D40586"/>
    <w:rsid w:val="00D440E4"/>
    <w:rsid w:val="00D5308A"/>
    <w:rsid w:val="00D6776E"/>
    <w:rsid w:val="00D767A8"/>
    <w:rsid w:val="00D77CB5"/>
    <w:rsid w:val="00D80E31"/>
    <w:rsid w:val="00D94E27"/>
    <w:rsid w:val="00D95754"/>
    <w:rsid w:val="00DA0C3D"/>
    <w:rsid w:val="00DC3AB8"/>
    <w:rsid w:val="00DC5C06"/>
    <w:rsid w:val="00DC7481"/>
    <w:rsid w:val="00DD2B3D"/>
    <w:rsid w:val="00DE4CE1"/>
    <w:rsid w:val="00DE74BC"/>
    <w:rsid w:val="00DF0BF3"/>
    <w:rsid w:val="00DF1B49"/>
    <w:rsid w:val="00E03A06"/>
    <w:rsid w:val="00E1032E"/>
    <w:rsid w:val="00E11748"/>
    <w:rsid w:val="00E24030"/>
    <w:rsid w:val="00E31C69"/>
    <w:rsid w:val="00E41B03"/>
    <w:rsid w:val="00E42CA7"/>
    <w:rsid w:val="00E43BDE"/>
    <w:rsid w:val="00E530A1"/>
    <w:rsid w:val="00E54AAC"/>
    <w:rsid w:val="00E55244"/>
    <w:rsid w:val="00E62330"/>
    <w:rsid w:val="00E62547"/>
    <w:rsid w:val="00E72F67"/>
    <w:rsid w:val="00E7777F"/>
    <w:rsid w:val="00E80627"/>
    <w:rsid w:val="00E85CEA"/>
    <w:rsid w:val="00EA2B4C"/>
    <w:rsid w:val="00EB09D9"/>
    <w:rsid w:val="00EC4332"/>
    <w:rsid w:val="00ED0FA2"/>
    <w:rsid w:val="00EE5F33"/>
    <w:rsid w:val="00EE7338"/>
    <w:rsid w:val="00EF143C"/>
    <w:rsid w:val="00EF7868"/>
    <w:rsid w:val="00F06795"/>
    <w:rsid w:val="00F06B80"/>
    <w:rsid w:val="00F131EA"/>
    <w:rsid w:val="00F21F71"/>
    <w:rsid w:val="00F26A53"/>
    <w:rsid w:val="00F26F65"/>
    <w:rsid w:val="00F3724E"/>
    <w:rsid w:val="00F41BCE"/>
    <w:rsid w:val="00F44E7C"/>
    <w:rsid w:val="00F61AC9"/>
    <w:rsid w:val="00F62BB8"/>
    <w:rsid w:val="00F63C3D"/>
    <w:rsid w:val="00F73608"/>
    <w:rsid w:val="00F83B4F"/>
    <w:rsid w:val="00F8768B"/>
    <w:rsid w:val="00F93C6F"/>
    <w:rsid w:val="00F94F48"/>
    <w:rsid w:val="00F97952"/>
    <w:rsid w:val="00FB1470"/>
    <w:rsid w:val="00FC1F99"/>
    <w:rsid w:val="00FC1FE4"/>
    <w:rsid w:val="00FC72D7"/>
    <w:rsid w:val="00FE1780"/>
    <w:rsid w:val="00FE5044"/>
    <w:rsid w:val="00FF4BAF"/>
    <w:rsid w:val="3DFD782A"/>
    <w:rsid w:val="41576D3D"/>
    <w:rsid w:val="5E3DA9DE"/>
    <w:rsid w:val="735D12E1"/>
    <w:rsid w:val="D76F592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footnote reference"/>
    <w:basedOn w:val="2"/>
    <w:semiHidden/>
    <w:unhideWhenUsed/>
    <w:qFormat/>
    <w:uiPriority w:val="99"/>
    <w:rPr>
      <w:vertAlign w:val="superscript"/>
    </w:rPr>
  </w:style>
  <w:style w:type="paragraph" w:styleId="6">
    <w:name w:val="footnote text"/>
    <w:basedOn w:val="1"/>
    <w:link w:val="13"/>
    <w:semiHidden/>
    <w:unhideWhenUsed/>
    <w:qFormat/>
    <w:uiPriority w:val="99"/>
    <w:pPr>
      <w:spacing w:after="0" w:line="240" w:lineRule="auto"/>
    </w:pPr>
    <w:rPr>
      <w:sz w:val="20"/>
      <w:szCs w:val="20"/>
    </w:rPr>
  </w:style>
  <w:style w:type="paragraph" w:styleId="7">
    <w:name w:val="annotation subject"/>
    <w:basedOn w:val="8"/>
    <w:next w:val="8"/>
    <w:link w:val="15"/>
    <w:semiHidden/>
    <w:unhideWhenUsed/>
    <w:qFormat/>
    <w:uiPriority w:val="99"/>
    <w:rPr>
      <w:b/>
      <w:bCs/>
    </w:rPr>
  </w:style>
  <w:style w:type="paragraph" w:styleId="8">
    <w:name w:val="annotation text"/>
    <w:basedOn w:val="1"/>
    <w:link w:val="14"/>
    <w:semiHidden/>
    <w:unhideWhenUsed/>
    <w:qFormat/>
    <w:uiPriority w:val="99"/>
    <w:pPr>
      <w:spacing w:line="240" w:lineRule="auto"/>
    </w:pPr>
    <w:rPr>
      <w:sz w:val="20"/>
      <w:szCs w:val="20"/>
    </w:rPr>
  </w:style>
  <w:style w:type="paragraph" w:styleId="9">
    <w:name w:val="Balloon Text"/>
    <w:basedOn w:val="1"/>
    <w:link w:val="16"/>
    <w:semiHidden/>
    <w:unhideWhenUsed/>
    <w:qFormat/>
    <w:uiPriority w:val="99"/>
    <w:pPr>
      <w:spacing w:after="0" w:line="240" w:lineRule="auto"/>
    </w:pPr>
    <w:rPr>
      <w:rFonts w:ascii="Tahoma" w:hAnsi="Tahoma" w:cs="Tahoma"/>
      <w:sz w:val="16"/>
      <w:szCs w:val="16"/>
    </w:rPr>
  </w:style>
  <w:style w:type="paragraph" w:styleId="10">
    <w:name w:val="header"/>
    <w:basedOn w:val="1"/>
    <w:link w:val="17"/>
    <w:unhideWhenUsed/>
    <w:qFormat/>
    <w:uiPriority w:val="99"/>
    <w:pPr>
      <w:tabs>
        <w:tab w:val="center" w:pos="4419"/>
        <w:tab w:val="right" w:pos="8838"/>
      </w:tabs>
      <w:spacing w:after="0" w:line="240" w:lineRule="auto"/>
    </w:pPr>
  </w:style>
  <w:style w:type="paragraph" w:styleId="11">
    <w:name w:val="footer"/>
    <w:basedOn w:val="1"/>
    <w:link w:val="18"/>
    <w:unhideWhenUsed/>
    <w:qFormat/>
    <w:uiPriority w:val="99"/>
    <w:pPr>
      <w:tabs>
        <w:tab w:val="center" w:pos="4419"/>
        <w:tab w:val="right" w:pos="8838"/>
      </w:tabs>
      <w:spacing w:after="0" w:line="240" w:lineRule="auto"/>
    </w:pPr>
  </w:style>
  <w:style w:type="paragraph" w:styleId="12">
    <w:name w:val="List Paragraph"/>
    <w:basedOn w:val="1"/>
    <w:qFormat/>
    <w:uiPriority w:val="34"/>
    <w:pPr>
      <w:ind w:left="720"/>
      <w:contextualSpacing/>
    </w:pPr>
  </w:style>
  <w:style w:type="character" w:customStyle="1" w:styleId="13">
    <w:name w:val="Texto nota pie Car"/>
    <w:basedOn w:val="2"/>
    <w:link w:val="6"/>
    <w:semiHidden/>
    <w:qFormat/>
    <w:uiPriority w:val="99"/>
    <w:rPr>
      <w:sz w:val="20"/>
      <w:szCs w:val="20"/>
    </w:rPr>
  </w:style>
  <w:style w:type="character" w:customStyle="1" w:styleId="14">
    <w:name w:val="Texto comentario Car"/>
    <w:basedOn w:val="2"/>
    <w:link w:val="8"/>
    <w:semiHidden/>
    <w:qFormat/>
    <w:uiPriority w:val="99"/>
    <w:rPr>
      <w:sz w:val="20"/>
      <w:szCs w:val="20"/>
    </w:rPr>
  </w:style>
  <w:style w:type="character" w:customStyle="1" w:styleId="15">
    <w:name w:val="Asunto del comentario Car"/>
    <w:basedOn w:val="14"/>
    <w:link w:val="7"/>
    <w:semiHidden/>
    <w:qFormat/>
    <w:uiPriority w:val="99"/>
    <w:rPr>
      <w:b/>
      <w:bCs/>
      <w:sz w:val="20"/>
      <w:szCs w:val="20"/>
    </w:rPr>
  </w:style>
  <w:style w:type="character" w:customStyle="1" w:styleId="16">
    <w:name w:val="Texto de globo Car"/>
    <w:basedOn w:val="2"/>
    <w:link w:val="9"/>
    <w:semiHidden/>
    <w:qFormat/>
    <w:uiPriority w:val="99"/>
    <w:rPr>
      <w:rFonts w:ascii="Tahoma" w:hAnsi="Tahoma" w:cs="Tahoma"/>
      <w:sz w:val="16"/>
      <w:szCs w:val="16"/>
    </w:rPr>
  </w:style>
  <w:style w:type="character" w:customStyle="1" w:styleId="17">
    <w:name w:val="Encabezado Car"/>
    <w:basedOn w:val="2"/>
    <w:link w:val="10"/>
    <w:qFormat/>
    <w:uiPriority w:val="99"/>
  </w:style>
  <w:style w:type="character" w:customStyle="1" w:styleId="18">
    <w:name w:val="Pie de página Car"/>
    <w:basedOn w:val="2"/>
    <w:link w:val="11"/>
    <w:qFormat/>
    <w:uiPriority w:val="99"/>
  </w:style>
  <w:style w:type="paragraph" w:customStyle="1" w:styleId="19">
    <w:name w:val="Revision"/>
    <w:hidden/>
    <w:semiHidden/>
    <w:qFormat/>
    <w:uiPriority w:val="99"/>
    <w:pPr>
      <w:spacing w:after="0" w:line="240" w:lineRule="auto"/>
    </w:pPr>
    <w:rPr>
      <w:rFonts w:asciiTheme="minorHAnsi" w:hAnsiTheme="minorHAnsi" w:eastAsiaTheme="minorHAnsi" w:cstheme="minorBidi"/>
      <w:sz w:val="22"/>
      <w:szCs w:val="22"/>
      <w:lang w:val="es-MX"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640F6EB2-5CCD-4FA5-B475-E8A64C8526D8}">
  <ds:schemaRefs/>
</ds:datastoreItem>
</file>

<file path=docProps/app.xml><?xml version="1.0" encoding="utf-8"?>
<Properties xmlns="http://schemas.openxmlformats.org/officeDocument/2006/extended-properties" xmlns:vt="http://schemas.openxmlformats.org/officeDocument/2006/docPropsVTypes">
  <Template>Normal</Template>
  <Pages>8</Pages>
  <Words>3077</Words>
  <Characters>16390</Characters>
  <Lines>198</Lines>
  <Paragraphs>56</Paragraphs>
  <TotalTime>218</TotalTime>
  <ScaleCrop>false</ScaleCrop>
  <LinksUpToDate>false</LinksUpToDate>
  <CharactersWithSpaces>19509</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2016-08-27T18:30:00Z</dcterms:created>
  <dc:creator>pino</dc:creator>
  <cp:lastModifiedBy>marcelaguardiola</cp:lastModifiedBy>
  <dcterms:modified xsi:type="dcterms:W3CDTF">2026-04-24T09:41:03Z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eyJoZGlkIjoiMmMyYWM1MWY5NGE4N2RlY2U5NWM0NzJiODNiMGJjYzkiLCJ1c2VySWQiOiIxNjY2OTU0NjA1NTE1In0=</vt:lpwstr>
  </property>
  <property fmtid="{D5CDD505-2E9C-101B-9397-08002B2CF9AE}" pid="3" name="KSOProductBuildVer">
    <vt:lpwstr>3082-12.1.23135.23135</vt:lpwstr>
  </property>
  <property fmtid="{D5CDD505-2E9C-101B-9397-08002B2CF9AE}" pid="4" name="ICV">
    <vt:lpwstr>27E06C01630246B4ACEC6C655A33592D_13</vt:lpwstr>
  </property>
</Properties>
</file>